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6DF" w:rsidRPr="005056DF" w:rsidRDefault="005056DF" w:rsidP="005056DF">
      <w:pPr>
        <w:pStyle w:val="BodyText"/>
        <w:rPr>
          <w:rFonts w:asciiTheme="minorHAnsi" w:hAnsiTheme="minorHAnsi" w:cstheme="minorHAnsi"/>
          <w:b/>
          <w:sz w:val="32"/>
          <w:szCs w:val="32"/>
        </w:rPr>
      </w:pPr>
      <w:r w:rsidRPr="005056DF">
        <w:rPr>
          <w:rFonts w:asciiTheme="minorHAnsi" w:hAnsiTheme="minorHAnsi" w:cstheme="minorHAnsi"/>
          <w:b/>
          <w:sz w:val="32"/>
          <w:szCs w:val="32"/>
        </w:rPr>
        <w:t xml:space="preserve">Nrf2 Inhibits NLRP3 </w:t>
      </w:r>
      <w:proofErr w:type="spellStart"/>
      <w:r w:rsidRPr="005056DF">
        <w:rPr>
          <w:rFonts w:asciiTheme="minorHAnsi" w:hAnsiTheme="minorHAnsi" w:cstheme="minorHAnsi"/>
          <w:b/>
          <w:sz w:val="32"/>
          <w:szCs w:val="32"/>
        </w:rPr>
        <w:t>Inflammasom</w:t>
      </w:r>
      <w:r w:rsidRPr="005056DF">
        <w:rPr>
          <w:rFonts w:asciiTheme="minorHAnsi" w:hAnsiTheme="minorHAnsi" w:cstheme="minorHAnsi"/>
          <w:b/>
          <w:sz w:val="32"/>
          <w:szCs w:val="32"/>
        </w:rPr>
        <w:t>e</w:t>
      </w:r>
      <w:proofErr w:type="spellEnd"/>
      <w:r w:rsidRPr="005056DF">
        <w:rPr>
          <w:rFonts w:asciiTheme="minorHAnsi" w:hAnsiTheme="minorHAnsi" w:cstheme="minorHAnsi"/>
          <w:b/>
          <w:sz w:val="32"/>
          <w:szCs w:val="32"/>
        </w:rPr>
        <w:t xml:space="preserve"> Activation through Regulating </w:t>
      </w:r>
      <w:r w:rsidRPr="005056DF">
        <w:rPr>
          <w:rFonts w:asciiTheme="minorHAnsi" w:hAnsiTheme="minorHAnsi" w:cstheme="minorHAnsi"/>
          <w:b/>
          <w:sz w:val="32"/>
          <w:szCs w:val="32"/>
        </w:rPr>
        <w:t>Trx1/TXNIP Complex in Cerebral Ischemia Reperfusion Injury</w:t>
      </w:r>
    </w:p>
    <w:p w:rsidR="005056DF" w:rsidRDefault="005056DF" w:rsidP="0098002E">
      <w:pPr>
        <w:spacing w:before="162" w:line="209" w:lineRule="exact"/>
        <w:ind w:right="720"/>
        <w:rPr>
          <w:rFonts w:ascii="Calibri"/>
          <w:b/>
          <w:sz w:val="24"/>
        </w:rPr>
      </w:pPr>
      <w:r w:rsidRPr="005056DF">
        <w:rPr>
          <w:rFonts w:ascii="Calibri"/>
          <w:b/>
          <w:sz w:val="24"/>
        </w:rPr>
        <w:t>Jing Zhao</w:t>
      </w:r>
    </w:p>
    <w:p w:rsidR="00D75CEE" w:rsidRPr="0098002E" w:rsidRDefault="005056DF" w:rsidP="0098002E">
      <w:pPr>
        <w:spacing w:before="162" w:line="209" w:lineRule="exact"/>
        <w:ind w:right="720"/>
        <w:rPr>
          <w:rFonts w:ascii="Calibri"/>
          <w:b/>
          <w:sz w:val="32"/>
        </w:rPr>
        <w:sectPr w:rsidR="00D75CEE" w:rsidRPr="0098002E" w:rsidSect="00D75CEE">
          <w:headerReference w:type="default" r:id="rId7"/>
          <w:footerReference w:type="default" r:id="rId8"/>
          <w:type w:val="continuous"/>
          <w:pgSz w:w="11910" w:h="16840"/>
          <w:pgMar w:top="2126" w:right="460" w:bottom="280" w:left="740" w:header="720" w:footer="720" w:gutter="0"/>
          <w:cols w:space="6334"/>
        </w:sectPr>
      </w:pPr>
      <w:r w:rsidRPr="005056DF">
        <w:rPr>
          <w:rFonts w:asciiTheme="minorHAnsi" w:hAnsiTheme="minorHAnsi" w:cstheme="minorHAnsi"/>
          <w:color w:val="212121"/>
          <w:sz w:val="18"/>
          <w:szCs w:val="18"/>
          <w:shd w:val="clear" w:color="auto" w:fill="FFFFFF"/>
        </w:rPr>
        <w:t>Chongqing Medical University, China</w:t>
      </w:r>
    </w:p>
    <w:p w:rsidR="005056DF" w:rsidRDefault="005056DF" w:rsidP="00AA7B89">
      <w:pPr>
        <w:pStyle w:val="BodyText"/>
        <w:spacing w:before="100" w:after="100" w:line="273" w:lineRule="auto"/>
        <w:jc w:val="both"/>
        <w:rPr>
          <w:rFonts w:ascii="Times New Roman" w:hAnsi="Times New Roman" w:cs="Times New Roman"/>
        </w:rPr>
      </w:pPr>
      <w:bookmarkStart w:id="0" w:name="_GoBack"/>
      <w:r w:rsidRPr="005056DF">
        <w:rPr>
          <w:rFonts w:ascii="Times New Roman" w:hAnsi="Times New Roman" w:cs="Times New Roman"/>
        </w:rPr>
        <w:lastRenderedPageBreak/>
        <w:t xml:space="preserve">The Nod-like receptor protein 3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has a basic job in irritation harm in ischemic injury, and the initiation of the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is firmly identified with the collaboration with </w:t>
      </w:r>
      <w:proofErr w:type="spellStart"/>
      <w:r w:rsidRPr="005056DF">
        <w:rPr>
          <w:rFonts w:ascii="Times New Roman" w:hAnsi="Times New Roman" w:cs="Times New Roman"/>
        </w:rPr>
        <w:t>Thioredoxin</w:t>
      </w:r>
      <w:proofErr w:type="spellEnd"/>
      <w:r w:rsidRPr="005056DF">
        <w:rPr>
          <w:rFonts w:ascii="Times New Roman" w:hAnsi="Times New Roman" w:cs="Times New Roman"/>
        </w:rPr>
        <w:t xml:space="preserve"> Interacting Protein (TXNIP) which separates from the Thioredoxin1(Trx1)/TXNIP complex under oxidative pressure. Nonetheless, the negative controller of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actuation has not been completely researched. Atomic factor </w:t>
      </w:r>
      <w:proofErr w:type="spellStart"/>
      <w:r w:rsidRPr="005056DF">
        <w:rPr>
          <w:rFonts w:ascii="Times New Roman" w:hAnsi="Times New Roman" w:cs="Times New Roman"/>
        </w:rPr>
        <w:t>erythroid</w:t>
      </w:r>
      <w:proofErr w:type="spellEnd"/>
      <w:r w:rsidRPr="005056DF">
        <w:rPr>
          <w:rFonts w:ascii="Times New Roman" w:hAnsi="Times New Roman" w:cs="Times New Roman"/>
        </w:rPr>
        <w:t xml:space="preserve"> 2-related factor 2 (Nrf2) takes on a basic part in the cancer prevention agent stress framework, which controls the determined qualities of cell reinforcement reaction component (ARE).Activate Nrf2 can hinder the actuation of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in intense liver injury and extreme lupus nephritis. We expected to investigate the defensive impact of Nrf2 in hindering the NLPR3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detailing through the Trx1/TXNIP complex in cerebral ischemia reperfusion (cerebral I/R) injury. </w:t>
      </w:r>
    </w:p>
    <w:bookmarkEnd w:id="0"/>
    <w:p w:rsidR="005056DF" w:rsidRPr="005056DF" w:rsidRDefault="005056DF" w:rsidP="00AA7B89">
      <w:pPr>
        <w:pStyle w:val="BodyText"/>
        <w:spacing w:before="100" w:after="100" w:line="273" w:lineRule="auto"/>
        <w:jc w:val="both"/>
        <w:rPr>
          <w:rFonts w:ascii="Times New Roman" w:hAnsi="Times New Roman" w:cs="Times New Roman"/>
        </w:rPr>
      </w:pPr>
      <w:r>
        <w:t xml:space="preserve">Posterior reversible encephalopathy condition (PRES) is a clinical disorder of cerebral pain, adjusted mental status, and seizures with reversible for the most part back </w:t>
      </w:r>
      <w:proofErr w:type="spellStart"/>
      <w:r>
        <w:t>leukoencephalopathy</w:t>
      </w:r>
      <w:proofErr w:type="spellEnd"/>
      <w:r>
        <w:t xml:space="preserve"> on neuroimaging Precipitating variables for PRES are multifactorial and incorporate auto administrative disappointment because of changes in circulatory strain, metabolic disturbances, and cytotoxic drugs. As the name infers, PRES is commonly reversible and resolves by rewarding the fundamental reason. The utilization of immunosuppressant is a realized hazard factor for the improvement of PRES. Among cytotoxic prescriptions, cyclosporine is the best answered to cause PRES, yet numerous different drugs have likewise been accounted for to have PRES as confusion. We report an uncommon instance of a patient who was given cyclophosphamide for the treatment of Anti-glomerular cellar layer (Anti-GBM) positive </w:t>
      </w:r>
      <w:proofErr w:type="spellStart"/>
      <w:r>
        <w:t>vasculitis</w:t>
      </w:r>
      <w:proofErr w:type="spellEnd"/>
      <w:r>
        <w:t>, and created PRES.</w:t>
      </w:r>
    </w:p>
    <w:p w:rsidR="005056DF" w:rsidRPr="005056DF" w:rsidRDefault="005056DF" w:rsidP="00AA7B89">
      <w:pPr>
        <w:pStyle w:val="BodyText"/>
        <w:spacing w:before="100" w:after="100" w:line="273" w:lineRule="auto"/>
        <w:jc w:val="both"/>
        <w:rPr>
          <w:rFonts w:ascii="Times New Roman" w:hAnsi="Times New Roman" w:cs="Times New Roman"/>
        </w:rPr>
      </w:pPr>
      <w:r w:rsidRPr="005056DF">
        <w:rPr>
          <w:rFonts w:ascii="Times New Roman" w:hAnsi="Times New Roman" w:cs="Times New Roman"/>
        </w:rPr>
        <w:t xml:space="preserve">Center cerebral course impediment/reperfusion (MCAO/R) model was utilized to copy ischemic affront. </w:t>
      </w:r>
      <w:proofErr w:type="spellStart"/>
      <w:r w:rsidRPr="005056DF">
        <w:rPr>
          <w:rFonts w:ascii="Times New Roman" w:hAnsi="Times New Roman" w:cs="Times New Roman"/>
        </w:rPr>
        <w:t>TertButylhydroquinone</w:t>
      </w:r>
      <w:proofErr w:type="spellEnd"/>
      <w:r w:rsidRPr="005056DF">
        <w:rPr>
          <w:rFonts w:ascii="Times New Roman" w:hAnsi="Times New Roman" w:cs="Times New Roman"/>
        </w:rPr>
        <w:t xml:space="preserve"> was </w:t>
      </w:r>
      <w:proofErr w:type="spellStart"/>
      <w:r w:rsidRPr="005056DF">
        <w:rPr>
          <w:rFonts w:ascii="Times New Roman" w:hAnsi="Times New Roman" w:cs="Times New Roman"/>
        </w:rPr>
        <w:t>intraperitoneally</w:t>
      </w:r>
      <w:proofErr w:type="spellEnd"/>
      <w:r w:rsidRPr="005056DF">
        <w:rPr>
          <w:rFonts w:ascii="Times New Roman" w:hAnsi="Times New Roman" w:cs="Times New Roman"/>
        </w:rPr>
        <w:t xml:space="preserve"> infused before the MCAO model to overexpress Nrf2.After up regulating Nrf2, the articulation of TXNIP in cytoplasm,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and downstream factors caspase-1, IL-18, and IL-1β were altogether diminished. Nrf2 </w:t>
      </w:r>
      <w:proofErr w:type="spellStart"/>
      <w:r w:rsidRPr="005056DF">
        <w:rPr>
          <w:rFonts w:ascii="Times New Roman" w:hAnsi="Times New Roman" w:cs="Times New Roman"/>
        </w:rPr>
        <w:t>siRNAs</w:t>
      </w:r>
      <w:proofErr w:type="spellEnd"/>
      <w:r w:rsidRPr="005056DF">
        <w:rPr>
          <w:rFonts w:ascii="Times New Roman" w:hAnsi="Times New Roman" w:cs="Times New Roman"/>
        </w:rPr>
        <w:t xml:space="preserve"> were infused into the rodents' cerebrums 24 h before set up the Nrf2 knockdown MCAO model, which yielded the contrary outcomes. Trx1 knockdown created a similar impact of Nrf2 restraint and the defensive impact of Nrf2 was for the most part canceled by Trx1 knockdown. Taking everything into account, these outcomes proposed that Nrf2 went about as a defensive controller against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enactment by directing the Trx1/TXNIP complex, which might speak to an inventive knowledge into the treatment of ischemia and reperfusion injury.</w:t>
      </w:r>
    </w:p>
    <w:p w:rsidR="005056DF" w:rsidRPr="005056DF" w:rsidRDefault="005056DF" w:rsidP="00AA7B89">
      <w:pPr>
        <w:pStyle w:val="BodyText"/>
        <w:spacing w:before="100" w:after="100" w:line="273" w:lineRule="auto"/>
        <w:jc w:val="both"/>
        <w:rPr>
          <w:rFonts w:ascii="Times New Roman" w:hAnsi="Times New Roman" w:cs="Times New Roman"/>
        </w:rPr>
      </w:pPr>
      <w:r w:rsidRPr="005056DF">
        <w:rPr>
          <w:rFonts w:ascii="Times New Roman" w:hAnsi="Times New Roman" w:cs="Times New Roman"/>
        </w:rPr>
        <w:t xml:space="preserve">However, the </w:t>
      </w:r>
      <w:proofErr w:type="spellStart"/>
      <w:r w:rsidRPr="005056DF">
        <w:rPr>
          <w:rFonts w:ascii="Times New Roman" w:hAnsi="Times New Roman" w:cs="Times New Roman"/>
        </w:rPr>
        <w:t>signalling</w:t>
      </w:r>
      <w:proofErr w:type="spellEnd"/>
      <w:r w:rsidRPr="005056DF">
        <w:rPr>
          <w:rFonts w:ascii="Times New Roman" w:hAnsi="Times New Roman" w:cs="Times New Roman"/>
        </w:rPr>
        <w:t xml:space="preserve"> pathways that lead to the enactment of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by MI/R injury have not been completely clarified. C57BL/6J mice were exposed to 30 min ischemia and 3 or 24 h reperfusion. The ischemic heart displayed upgraded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initiation as prove by expanded NLRP3 articulation and caspase-1 action and expanded IL-1β and IL-18 creation. </w:t>
      </w:r>
      <w:proofErr w:type="spellStart"/>
      <w:r w:rsidRPr="005056DF">
        <w:rPr>
          <w:rFonts w:ascii="Times New Roman" w:hAnsi="Times New Roman" w:cs="Times New Roman"/>
        </w:rPr>
        <w:t>Intramyocardial</w:t>
      </w:r>
      <w:proofErr w:type="spellEnd"/>
      <w:r w:rsidRPr="005056DF">
        <w:rPr>
          <w:rFonts w:ascii="Times New Roman" w:hAnsi="Times New Roman" w:cs="Times New Roman"/>
        </w:rPr>
        <w:t xml:space="preserve"> NLRP3 </w:t>
      </w:r>
      <w:proofErr w:type="spellStart"/>
      <w:r w:rsidRPr="005056DF">
        <w:rPr>
          <w:rFonts w:ascii="Times New Roman" w:hAnsi="Times New Roman" w:cs="Times New Roman"/>
        </w:rPr>
        <w:t>siRNA</w:t>
      </w:r>
      <w:proofErr w:type="spellEnd"/>
      <w:r w:rsidRPr="005056DF">
        <w:rPr>
          <w:rFonts w:ascii="Times New Roman" w:hAnsi="Times New Roman" w:cs="Times New Roman"/>
        </w:rPr>
        <w:t xml:space="preserve"> blend or an </w:t>
      </w:r>
      <w:proofErr w:type="spellStart"/>
      <w:r w:rsidRPr="005056DF">
        <w:rPr>
          <w:rFonts w:ascii="Times New Roman" w:hAnsi="Times New Roman" w:cs="Times New Roman"/>
        </w:rPr>
        <w:t>intraperitoneal</w:t>
      </w:r>
      <w:proofErr w:type="spellEnd"/>
      <w:r w:rsidRPr="005056DF">
        <w:rPr>
          <w:rFonts w:ascii="Times New Roman" w:hAnsi="Times New Roman" w:cs="Times New Roman"/>
        </w:rPr>
        <w:t xml:space="preserve"> implantation of BAY 11-7028, an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inhibitor, decreased macrophage and neutrophil attack and </w:t>
      </w:r>
      <w:r w:rsidRPr="005056DF">
        <w:rPr>
          <w:rFonts w:ascii="Times New Roman" w:hAnsi="Times New Roman" w:cs="Times New Roman"/>
        </w:rPr>
        <w:lastRenderedPageBreak/>
        <w:t xml:space="preserve">reduced MI/R injury, as evaluated through </w:t>
      </w:r>
      <w:proofErr w:type="spellStart"/>
      <w:r w:rsidRPr="005056DF">
        <w:rPr>
          <w:rFonts w:ascii="Times New Roman" w:hAnsi="Times New Roman" w:cs="Times New Roman"/>
        </w:rPr>
        <w:t>cardiomyocyte</w:t>
      </w:r>
      <w:proofErr w:type="spellEnd"/>
      <w:r w:rsidRPr="005056DF">
        <w:rPr>
          <w:rFonts w:ascii="Times New Roman" w:hAnsi="Times New Roman" w:cs="Times New Roman"/>
        </w:rPr>
        <w:t xml:space="preserve"> apoptosis and infarct size.</w:t>
      </w:r>
    </w:p>
    <w:p w:rsidR="005056DF" w:rsidRPr="005056DF" w:rsidRDefault="005056DF" w:rsidP="00AA7B89">
      <w:pPr>
        <w:pStyle w:val="BodyText"/>
        <w:spacing w:before="100" w:after="100" w:line="273" w:lineRule="auto"/>
        <w:jc w:val="both"/>
        <w:rPr>
          <w:rFonts w:ascii="Times New Roman" w:hAnsi="Times New Roman" w:cs="Times New Roman"/>
        </w:rPr>
      </w:pPr>
      <w:r w:rsidRPr="005056DF">
        <w:rPr>
          <w:rFonts w:ascii="Times New Roman" w:hAnsi="Times New Roman" w:cs="Times New Roman"/>
        </w:rPr>
        <w:t xml:space="preserve">The ischemic heart additionally displayed improved cooperation among </w:t>
      </w:r>
      <w:proofErr w:type="spellStart"/>
      <w:r w:rsidRPr="005056DF">
        <w:rPr>
          <w:rFonts w:ascii="Times New Roman" w:hAnsi="Times New Roman" w:cs="Times New Roman"/>
        </w:rPr>
        <w:t>Txnip</w:t>
      </w:r>
      <w:proofErr w:type="spellEnd"/>
      <w:r w:rsidRPr="005056DF">
        <w:rPr>
          <w:rFonts w:ascii="Times New Roman" w:hAnsi="Times New Roman" w:cs="Times New Roman"/>
        </w:rPr>
        <w:t xml:space="preserve"> and NLRP3, which has been demonstrated to be a component for actuating NLRP3. </w:t>
      </w:r>
      <w:proofErr w:type="spellStart"/>
      <w:r w:rsidRPr="005056DF">
        <w:rPr>
          <w:rFonts w:ascii="Times New Roman" w:hAnsi="Times New Roman" w:cs="Times New Roman"/>
        </w:rPr>
        <w:t>Intramyocardial</w:t>
      </w:r>
      <w:proofErr w:type="spellEnd"/>
      <w:r w:rsidRPr="005056DF">
        <w:rPr>
          <w:rFonts w:ascii="Times New Roman" w:hAnsi="Times New Roman" w:cs="Times New Roman"/>
        </w:rPr>
        <w:t xml:space="preserve"> </w:t>
      </w:r>
      <w:proofErr w:type="spellStart"/>
      <w:r w:rsidRPr="005056DF">
        <w:rPr>
          <w:rFonts w:ascii="Times New Roman" w:hAnsi="Times New Roman" w:cs="Times New Roman"/>
        </w:rPr>
        <w:t>Txnip</w:t>
      </w:r>
      <w:proofErr w:type="spellEnd"/>
      <w:r w:rsidRPr="005056DF">
        <w:rPr>
          <w:rFonts w:ascii="Times New Roman" w:hAnsi="Times New Roman" w:cs="Times New Roman"/>
        </w:rPr>
        <w:t xml:space="preserve"> </w:t>
      </w:r>
      <w:proofErr w:type="spellStart"/>
      <w:r w:rsidRPr="005056DF">
        <w:rPr>
          <w:rFonts w:ascii="Times New Roman" w:hAnsi="Times New Roman" w:cs="Times New Roman"/>
        </w:rPr>
        <w:t>siRNA</w:t>
      </w:r>
      <w:proofErr w:type="spellEnd"/>
      <w:r w:rsidRPr="005056DF">
        <w:rPr>
          <w:rFonts w:ascii="Times New Roman" w:hAnsi="Times New Roman" w:cs="Times New Roman"/>
        </w:rPr>
        <w:t xml:space="preserve"> infusion additionally diminished infarct size and NLRP3 enactment. In vitro tries uncovered that NLRP3 was communicated in cardiovascular </w:t>
      </w:r>
      <w:proofErr w:type="spellStart"/>
      <w:r w:rsidRPr="005056DF">
        <w:rPr>
          <w:rFonts w:ascii="Times New Roman" w:hAnsi="Times New Roman" w:cs="Times New Roman"/>
        </w:rPr>
        <w:t>microvascular</w:t>
      </w:r>
      <w:proofErr w:type="spellEnd"/>
      <w:r w:rsidRPr="005056DF">
        <w:rPr>
          <w:rFonts w:ascii="Times New Roman" w:hAnsi="Times New Roman" w:cs="Times New Roman"/>
        </w:rPr>
        <w:t xml:space="preserve"> endothelial cells (CMECs), yet was not really communicated in </w:t>
      </w:r>
      <w:proofErr w:type="spellStart"/>
      <w:r w:rsidRPr="005056DF">
        <w:rPr>
          <w:rFonts w:ascii="Times New Roman" w:hAnsi="Times New Roman" w:cs="Times New Roman"/>
        </w:rPr>
        <w:t>cardiomyocytes</w:t>
      </w:r>
      <w:proofErr w:type="spellEnd"/>
      <w:r w:rsidRPr="005056DF">
        <w:rPr>
          <w:rFonts w:ascii="Times New Roman" w:hAnsi="Times New Roman" w:cs="Times New Roman"/>
        </w:rPr>
        <w:t xml:space="preserve">. </w:t>
      </w:r>
    </w:p>
    <w:p w:rsidR="005056DF" w:rsidRDefault="005056DF" w:rsidP="00AA7B89">
      <w:pPr>
        <w:pStyle w:val="BodyText"/>
        <w:spacing w:before="100" w:after="100" w:line="273" w:lineRule="auto"/>
        <w:jc w:val="both"/>
        <w:rPr>
          <w:rFonts w:ascii="Times New Roman" w:hAnsi="Times New Roman" w:cs="Times New Roman"/>
        </w:rPr>
      </w:pPr>
      <w:r w:rsidRPr="005056DF">
        <w:rPr>
          <w:rFonts w:ascii="Times New Roman" w:hAnsi="Times New Roman" w:cs="Times New Roman"/>
        </w:rPr>
        <w:t>Our patient, an instance of atypical HUS on immunomodulation and on antihypertensive on treatment with ATT for PUO created repetitive PRES when rifampicin was acquainted with him. Rifampicin has not been referenced in the accessible writing to be reason for PRES. Be that as it may; our patient plainly built up the said disorder twice when the medication was given to him. He had enormous vacillations in the circulatory strain during the period when this medication was given.</w:t>
      </w:r>
    </w:p>
    <w:p w:rsidR="005056DF" w:rsidRPr="005056DF" w:rsidRDefault="005056DF" w:rsidP="00AA7B89">
      <w:pPr>
        <w:pStyle w:val="BodyText"/>
        <w:spacing w:before="100" w:after="100" w:line="273" w:lineRule="auto"/>
        <w:jc w:val="both"/>
        <w:rPr>
          <w:rFonts w:ascii="Times New Roman" w:hAnsi="Times New Roman" w:cs="Times New Roman"/>
        </w:rPr>
      </w:pPr>
      <w:r>
        <w:t xml:space="preserve">It was then found by and large that rifampicin associates with hostile to hypertensive medications; </w:t>
      </w:r>
      <w:proofErr w:type="spellStart"/>
      <w:r>
        <w:t>amlodipin</w:t>
      </w:r>
      <w:proofErr w:type="spellEnd"/>
      <w:r>
        <w:t xml:space="preserve"> for this situation. Rifampicin incites the hepatic protein CYP3A4 which thusly prompts broad digestion of </w:t>
      </w:r>
      <w:proofErr w:type="spellStart"/>
      <w:r>
        <w:t>amlodipin</w:t>
      </w:r>
      <w:proofErr w:type="spellEnd"/>
      <w:r>
        <w:t xml:space="preserve"> in the liver hence radically decreasing its levels. </w:t>
      </w:r>
      <w:proofErr w:type="gramStart"/>
      <w:r>
        <w:t>In this manner prompting circulatory strain vacillations prompting PRES.</w:t>
      </w:r>
      <w:proofErr w:type="gramEnd"/>
    </w:p>
    <w:p w:rsidR="00466D12" w:rsidRPr="005056DF" w:rsidRDefault="005056DF" w:rsidP="00AA7B89">
      <w:pPr>
        <w:pStyle w:val="BodyText"/>
        <w:spacing w:before="100" w:after="100" w:line="273" w:lineRule="auto"/>
        <w:jc w:val="both"/>
        <w:rPr>
          <w:rFonts w:ascii="Times New Roman" w:hAnsi="Times New Roman" w:cs="Times New Roman"/>
          <w:color w:val="212121"/>
        </w:rPr>
      </w:pPr>
      <w:r w:rsidRPr="005056DF">
        <w:rPr>
          <w:rFonts w:ascii="Times New Roman" w:hAnsi="Times New Roman" w:cs="Times New Roman"/>
        </w:rPr>
        <w:t xml:space="preserve">Mimicked ischemia/reperfusion (SI/R) animated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actuation in CMECs, yet not in </w:t>
      </w:r>
      <w:proofErr w:type="spellStart"/>
      <w:r w:rsidRPr="005056DF">
        <w:rPr>
          <w:rFonts w:ascii="Times New Roman" w:hAnsi="Times New Roman" w:cs="Times New Roman"/>
        </w:rPr>
        <w:t>cardiomyocytes</w:t>
      </w:r>
      <w:proofErr w:type="spellEnd"/>
      <w:r w:rsidRPr="005056DF">
        <w:rPr>
          <w:rFonts w:ascii="Times New Roman" w:hAnsi="Times New Roman" w:cs="Times New Roman"/>
        </w:rPr>
        <w:t xml:space="preserve">. In addition, CMECs exposed to SI/R injury expanded cooperation among </w:t>
      </w:r>
      <w:proofErr w:type="spellStart"/>
      <w:r w:rsidRPr="005056DF">
        <w:rPr>
          <w:rFonts w:ascii="Times New Roman" w:hAnsi="Times New Roman" w:cs="Times New Roman"/>
        </w:rPr>
        <w:t>Txnip</w:t>
      </w:r>
      <w:proofErr w:type="spellEnd"/>
      <w:r w:rsidRPr="005056DF">
        <w:rPr>
          <w:rFonts w:ascii="Times New Roman" w:hAnsi="Times New Roman" w:cs="Times New Roman"/>
        </w:rPr>
        <w:t xml:space="preserve"> and NLRP3. </w:t>
      </w:r>
      <w:proofErr w:type="spellStart"/>
      <w:r w:rsidRPr="005056DF">
        <w:rPr>
          <w:rFonts w:ascii="Times New Roman" w:hAnsi="Times New Roman" w:cs="Times New Roman"/>
        </w:rPr>
        <w:t>Txnip</w:t>
      </w:r>
      <w:proofErr w:type="spellEnd"/>
      <w:r w:rsidRPr="005056DF">
        <w:rPr>
          <w:rFonts w:ascii="Times New Roman" w:hAnsi="Times New Roman" w:cs="Times New Roman"/>
        </w:rPr>
        <w:t xml:space="preserve"> </w:t>
      </w:r>
      <w:proofErr w:type="spellStart"/>
      <w:r w:rsidRPr="005056DF">
        <w:rPr>
          <w:rFonts w:ascii="Times New Roman" w:hAnsi="Times New Roman" w:cs="Times New Roman"/>
        </w:rPr>
        <w:t>siRNA</w:t>
      </w:r>
      <w:proofErr w:type="spellEnd"/>
      <w:r w:rsidRPr="005056DF">
        <w:rPr>
          <w:rFonts w:ascii="Times New Roman" w:hAnsi="Times New Roman" w:cs="Times New Roman"/>
        </w:rPr>
        <w:t xml:space="preserve"> lessened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actuation and SI/R-instigated injury, as estimated by LDH discharge and caspase-3 action in CMECs. ROS scrounger separated TXNIP from NLRP3 and repressed the enactment of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in the CMECs. Just because, we showed that TXNIP-interceded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enactment in CMECs was a novel component of MI/R injury. Mediations that square </w:t>
      </w:r>
      <w:proofErr w:type="spellStart"/>
      <w:r w:rsidRPr="005056DF">
        <w:rPr>
          <w:rFonts w:ascii="Times New Roman" w:hAnsi="Times New Roman" w:cs="Times New Roman"/>
        </w:rPr>
        <w:t>Txnip</w:t>
      </w:r>
      <w:proofErr w:type="spellEnd"/>
      <w:r w:rsidRPr="005056DF">
        <w:rPr>
          <w:rFonts w:ascii="Times New Roman" w:hAnsi="Times New Roman" w:cs="Times New Roman"/>
        </w:rPr>
        <w:t xml:space="preserve">/NLRP3 motioning to repress the actuation of NLRP3 </w:t>
      </w:r>
      <w:proofErr w:type="spellStart"/>
      <w:r w:rsidRPr="005056DF">
        <w:rPr>
          <w:rFonts w:ascii="Times New Roman" w:hAnsi="Times New Roman" w:cs="Times New Roman"/>
        </w:rPr>
        <w:t>inflammasome</w:t>
      </w:r>
      <w:proofErr w:type="spellEnd"/>
      <w:r w:rsidRPr="005056DF">
        <w:rPr>
          <w:rFonts w:ascii="Times New Roman" w:hAnsi="Times New Roman" w:cs="Times New Roman"/>
        </w:rPr>
        <w:t xml:space="preserve"> might be novel treatments for moderating MI/R injury</w:t>
      </w:r>
      <w:r w:rsidRPr="005056DF">
        <w:rPr>
          <w:rFonts w:ascii="Times New Roman" w:hAnsi="Times New Roman" w:cs="Times New Roman"/>
          <w:color w:val="212121"/>
        </w:rPr>
        <w:t>.</w:t>
      </w:r>
    </w:p>
    <w:sectPr w:rsidR="00466D12" w:rsidRPr="005056DF" w:rsidSect="00D75CEE">
      <w:type w:val="continuous"/>
      <w:pgSz w:w="11910" w:h="16840"/>
      <w:pgMar w:top="2126" w:right="300" w:bottom="280" w:left="740" w:header="720" w:footer="720" w:gutter="0"/>
      <w:cols w:num="2" w:space="720" w:equalWidth="0">
        <w:col w:w="5380" w:space="180"/>
        <w:col w:w="531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8B9" w:rsidRDefault="002048B9" w:rsidP="006143B2">
      <w:r>
        <w:separator/>
      </w:r>
    </w:p>
  </w:endnote>
  <w:endnote w:type="continuationSeparator" w:id="0">
    <w:p w:rsidR="002048B9" w:rsidRDefault="002048B9" w:rsidP="00614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CEE" w:rsidRDefault="0018089E" w:rsidP="00D75CEE">
    <w:pPr>
      <w:pStyle w:val="Footer"/>
      <w:jc w:val="center"/>
    </w:pPr>
    <w:r w:rsidRPr="0018089E">
      <w:rPr>
        <w:rFonts w:ascii="Myriad Pro" w:hAnsi="Myriad Pro"/>
        <w:sz w:val="18"/>
        <w:szCs w:val="18"/>
      </w:rPr>
      <w:t xml:space="preserve">13th Annual Conference on Dementia and </w:t>
    </w:r>
    <w:proofErr w:type="spellStart"/>
    <w:r w:rsidRPr="0018089E">
      <w:rPr>
        <w:rFonts w:ascii="Myriad Pro" w:hAnsi="Myriad Pro"/>
        <w:sz w:val="18"/>
        <w:szCs w:val="18"/>
      </w:rPr>
      <w:t>Alzheimers</w:t>
    </w:r>
    <w:proofErr w:type="spellEnd"/>
    <w:r w:rsidRPr="0018089E">
      <w:rPr>
        <w:rFonts w:ascii="Myriad Pro" w:hAnsi="Myriad Pro"/>
        <w:sz w:val="18"/>
        <w:szCs w:val="18"/>
      </w:rPr>
      <w:t xml:space="preserve"> Disease</w:t>
    </w:r>
    <w:r w:rsidR="00096FB2">
      <w:rPr>
        <w:rFonts w:ascii="Myriad Pro" w:hAnsi="Myriad Pro"/>
        <w:sz w:val="18"/>
        <w:szCs w:val="18"/>
      </w:rPr>
      <w:t>,</w:t>
    </w:r>
    <w:r w:rsidR="00F330F3" w:rsidRPr="00F330F3">
      <w:t xml:space="preserve"> </w:t>
    </w:r>
    <w:r w:rsidRPr="0018089E">
      <w:rPr>
        <w:rFonts w:ascii="Myriad Pro" w:hAnsi="Myriad Pro"/>
        <w:sz w:val="18"/>
        <w:szCs w:val="18"/>
      </w:rPr>
      <w:t xml:space="preserve">December 13-15, 2018 </w:t>
    </w:r>
    <w:r>
      <w:rPr>
        <w:rFonts w:ascii="Myriad Pro" w:hAnsi="Myriad Pro"/>
        <w:sz w:val="18"/>
        <w:szCs w:val="18"/>
      </w:rPr>
      <w:t xml:space="preserve">| </w:t>
    </w:r>
    <w:r w:rsidRPr="0018089E">
      <w:rPr>
        <w:rFonts w:ascii="Myriad Pro" w:hAnsi="Myriad Pro"/>
        <w:sz w:val="18"/>
        <w:szCs w:val="18"/>
      </w:rPr>
      <w:t>Abu Dhabi, UAE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8B9" w:rsidRDefault="002048B9" w:rsidP="006143B2">
      <w:r>
        <w:separator/>
      </w:r>
    </w:p>
  </w:footnote>
  <w:footnote w:type="continuationSeparator" w:id="0">
    <w:p w:rsidR="002048B9" w:rsidRDefault="002048B9" w:rsidP="006143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B2" w:rsidRDefault="00D75CEE">
    <w:pPr>
      <w:pStyle w:val="Header"/>
    </w:pPr>
    <w:r>
      <w:rPr>
        <w:noProof/>
        <w:lang w:val="en-IN" w:eastAsia="en-IN" w:bidi="ar-SA"/>
      </w:rPr>
      <mc:AlternateContent>
        <mc:Choice Requires="wpg">
          <w:drawing>
            <wp:anchor distT="0" distB="0" distL="114300" distR="114300" simplePos="0" relativeHeight="251659264" behindDoc="0" locked="0" layoutInCell="1" allowOverlap="1" wp14:anchorId="1718E089" wp14:editId="306AB732">
              <wp:simplePos x="0" y="0"/>
              <wp:positionH relativeFrom="page">
                <wp:posOffset>512445</wp:posOffset>
              </wp:positionH>
              <wp:positionV relativeFrom="page">
                <wp:posOffset>487045</wp:posOffset>
              </wp:positionV>
              <wp:extent cx="7200265" cy="58102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581025"/>
                        <a:chOff x="567" y="527"/>
                        <a:chExt cx="11339" cy="915"/>
                      </a:xfrm>
                    </wpg:grpSpPr>
                    <wps:wsp>
                      <wps:cNvPr id="2" name="Rectangle 8"/>
                      <wps:cNvSpPr>
                        <a:spLocks noChangeArrowheads="1"/>
                      </wps:cNvSpPr>
                      <wps:spPr bwMode="auto">
                        <a:xfrm>
                          <a:off x="566" y="562"/>
                          <a:ext cx="9041" cy="879"/>
                        </a:xfrm>
                        <a:prstGeom prst="rect">
                          <a:avLst/>
                        </a:prstGeom>
                        <a:solidFill>
                          <a:srgbClr val="A754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7"/>
                      <wps:cNvSpPr>
                        <a:spLocks noChangeArrowheads="1"/>
                      </wps:cNvSpPr>
                      <wps:spPr bwMode="auto">
                        <a:xfrm>
                          <a:off x="9604" y="562"/>
                          <a:ext cx="203" cy="879"/>
                        </a:xfrm>
                        <a:prstGeom prst="rect">
                          <a:avLst/>
                        </a:prstGeom>
                        <a:solidFill>
                          <a:srgbClr val="D2AA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6"/>
                      <wps:cNvCnPr/>
                      <wps:spPr bwMode="auto">
                        <a:xfrm>
                          <a:off x="9807" y="933"/>
                          <a:ext cx="2099" cy="0"/>
                        </a:xfrm>
                        <a:prstGeom prst="line">
                          <a:avLst/>
                        </a:prstGeom>
                        <a:noFill/>
                        <a:ln w="37795">
                          <a:solidFill>
                            <a:srgbClr val="E6D1DD"/>
                          </a:solidFill>
                          <a:prstDash val="solid"/>
                          <a:round/>
                          <a:headEnd/>
                          <a:tailEnd/>
                        </a:ln>
                        <a:extLst>
                          <a:ext uri="{909E8E84-426E-40DD-AFC4-6F175D3DCCD1}">
                            <a14:hiddenFill xmlns:a14="http://schemas.microsoft.com/office/drawing/2010/main">
                              <a:noFill/>
                            </a14:hiddenFill>
                          </a:ext>
                        </a:extLst>
                      </wps:spPr>
                      <wps:bodyPr/>
                    </wps:wsp>
                    <wps:wsp>
                      <wps:cNvPr id="5" name="Text Box 5"/>
                      <wps:cNvSpPr txBox="1">
                        <a:spLocks noChangeArrowheads="1"/>
                      </wps:cNvSpPr>
                      <wps:spPr bwMode="auto">
                        <a:xfrm>
                          <a:off x="566" y="526"/>
                          <a:ext cx="11339"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EE" w:rsidRDefault="0009183B" w:rsidP="00D75CEE">
                            <w:pPr>
                              <w:spacing w:line="335" w:lineRule="exact"/>
                              <w:ind w:right="568"/>
                              <w:jc w:val="right"/>
                              <w:rPr>
                                <w:rFonts w:ascii="Arial"/>
                                <w:b/>
                                <w:sz w:val="30"/>
                              </w:rPr>
                            </w:pPr>
                            <w:r>
                              <w:rPr>
                                <w:rFonts w:ascii="Arial"/>
                                <w:b/>
                                <w:spacing w:val="-2"/>
                                <w:sz w:val="30"/>
                              </w:rPr>
                              <w:t>2021</w:t>
                            </w:r>
                          </w:p>
                          <w:p w:rsidR="00D75CEE" w:rsidRDefault="0009183B" w:rsidP="00D75CEE">
                            <w:pPr>
                              <w:spacing w:before="102"/>
                              <w:ind w:right="568"/>
                              <w:jc w:val="right"/>
                              <w:rPr>
                                <w:rFonts w:ascii="Myriad Pro"/>
                                <w:sz w:val="20"/>
                              </w:rPr>
                            </w:pPr>
                            <w:r>
                              <w:rPr>
                                <w:rFonts w:ascii="Myriad Pro"/>
                                <w:sz w:val="20"/>
                              </w:rPr>
                              <w:t xml:space="preserve">Vol.4 </w:t>
                            </w:r>
                            <w:r w:rsidR="00466D12">
                              <w:rPr>
                                <w:rFonts w:ascii="Myriad Pro"/>
                                <w:sz w:val="20"/>
                              </w:rPr>
                              <w:t>No.4</w:t>
                            </w:r>
                          </w:p>
                        </w:txbxContent>
                      </wps:txbx>
                      <wps:bodyPr rot="0" vert="horz" wrap="square" lIns="0" tIns="0" rIns="0" bIns="0" anchor="t" anchorCtr="0" upright="1">
                        <a:noAutofit/>
                      </wps:bodyPr>
                    </wps:wsp>
                    <wps:wsp>
                      <wps:cNvPr id="6" name="Text Box 4"/>
                      <wps:cNvSpPr txBox="1">
                        <a:spLocks noChangeArrowheads="1"/>
                      </wps:cNvSpPr>
                      <wps:spPr bwMode="auto">
                        <a:xfrm>
                          <a:off x="4350" y="711"/>
                          <a:ext cx="4986"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EE" w:rsidRDefault="00D75CEE" w:rsidP="00D75CEE">
                            <w:pPr>
                              <w:spacing w:line="297" w:lineRule="exact"/>
                              <w:rPr>
                                <w:rFonts w:ascii="Myriad Pro"/>
                                <w:b/>
                                <w:sz w:val="24"/>
                              </w:rPr>
                            </w:pPr>
                            <w:r>
                              <w:rPr>
                                <w:rFonts w:ascii="Myriad Pro"/>
                                <w:b/>
                                <w:color w:val="FFFFFF"/>
                                <w:w w:val="95"/>
                                <w:sz w:val="24"/>
                              </w:rPr>
                              <w:t xml:space="preserve">Journal of </w:t>
                            </w:r>
                            <w:r w:rsidR="0009183B" w:rsidRPr="0009183B">
                              <w:rPr>
                                <w:rFonts w:ascii="Myriad Pro"/>
                                <w:b/>
                                <w:color w:val="FFFFFF"/>
                                <w:w w:val="95"/>
                                <w:sz w:val="24"/>
                              </w:rPr>
                              <w:t>Alzheimer's &amp; Dementia</w:t>
                            </w:r>
                          </w:p>
                        </w:txbxContent>
                      </wps:txbx>
                      <wps:bodyPr rot="0" vert="horz" wrap="square" lIns="0" tIns="0" rIns="0" bIns="0" anchor="t" anchorCtr="0" upright="1">
                        <a:noAutofit/>
                      </wps:bodyPr>
                    </wps:wsp>
                    <wps:wsp>
                      <wps:cNvPr id="7" name="Text Box 3"/>
                      <wps:cNvSpPr txBox="1">
                        <a:spLocks noChangeArrowheads="1"/>
                      </wps:cNvSpPr>
                      <wps:spPr bwMode="auto">
                        <a:xfrm>
                          <a:off x="806" y="768"/>
                          <a:ext cx="1993"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EE" w:rsidRDefault="00D75CEE" w:rsidP="00D75CEE">
                            <w:pPr>
                              <w:spacing w:line="260" w:lineRule="exact"/>
                              <w:rPr>
                                <w:rFonts w:ascii="Calibri"/>
                                <w:b/>
                                <w:sz w:val="26"/>
                              </w:rPr>
                            </w:pPr>
                            <w:r>
                              <w:rPr>
                                <w:rFonts w:ascii="Calibri"/>
                                <w:b/>
                                <w:color w:val="FFFFFF"/>
                                <w:sz w:val="26"/>
                              </w:rPr>
                              <w:t>Extended Abstract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40.35pt;margin-top:38.35pt;width:566.95pt;height:45.75pt;z-index:251659264;mso-position-horizontal-relative:page;mso-position-vertical-relative:page" coordorigin="567,527" coordsize="1133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">
              <v:rect id="Rectangle 8" o:spid="_x0000_s1027" style="position:absolute;left:566;top:562;width:9041;height: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QjvMIA&#10;AADaAAAADwAAAGRycy9kb3ducmV2LnhtbESPQWsCMRSE7wX/Q3hCL0WzCpWyGsUWhN5sVy+9PTbP&#10;ZHHzst286vrvm0LB4zAz3zCrzRBadaE+NZENzKYFKOI62oadgeNhN3kBlQTZYhuZDNwowWY9elhh&#10;aeOVP+lSiVMZwqlEA16kK7VOtaeAaRo74uydYh9Qsuydtj1eMzy0el4UCx2w4bzgsaM3T/W5+gkG&#10;orw230/iZrf97iPtQ/Xsz+7LmMfxsF2CEhrkHv5vv1sDc/i7km+A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CO8wgAAANoAAAAPAAAAAAAAAAAAAAAAAJgCAABkcnMvZG93&#10;bnJldi54bWxQSwUGAAAAAAQABAD1AAAAhwMAAAAA&#10;" fillcolor="#a75483" stroked="f"/>
              <v:rect id="Rectangle 7" o:spid="_x0000_s1028" style="position:absolute;left:9604;top:562;width:203;height: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ekUMUA&#10;AADaAAAADwAAAGRycy9kb3ducmV2LnhtbESPW2vCQBSE3wv9D8sp9K1urFQkuoq0FSwFwQte3o7Z&#10;YxLMno3ZNYn/vlsQfBxm5htmNGlNIWqqXG5ZQbcTgSBOrM45VbBZz94GIJxH1lhYJgU3cjAZPz+N&#10;MNa24SXVK5+KAGEXo4LM+zKW0iUZGXQdWxIH72Qrgz7IKpW6wibATSHfo6gvDeYcFjIs6TOj5Ly6&#10;GgXHevHR/Na7/faAl8v16wfn3+e+Uq8v7XQIwlPrH+F7e64V9OD/SrgBc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V6RQxQAAANoAAAAPAAAAAAAAAAAAAAAAAJgCAABkcnMv&#10;ZG93bnJldi54bWxQSwUGAAAAAAQABAD1AAAAigMAAAAA&#10;" fillcolor="#d2aac1" stroked="f"/>
              <v:line id="Line 6" o:spid="_x0000_s1029" style="position:absolute;visibility:visible;mso-wrap-style:square" from="9807,933" to="11906,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VtsQAAADaAAAADwAAAGRycy9kb3ducmV2LnhtbESPT2vCQBTE74LfYXlCL1I3Vm0luorY&#10;Cv67VMXzI/tMgtm3MbvV+O27guBxmJnfMONpbQpxpcrllhV0OxEI4sTqnFMFh/3ifQjCeWSNhWVS&#10;cCcH00mzMcZY2xv/0nXnUxEg7GJUkHlfxlK6JCODrmNL4uCdbGXQB1mlUld4C3BTyI8o+pQGcw4L&#10;GZY0zyg57/6Mgt7l9H3cyu1mPjj326vB13r4c0Sl3lr1bATCU+1f4Wd7qRX04XEl3AA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35W2xAAAANoAAAAPAAAAAAAAAAAA&#10;AAAAAKECAABkcnMvZG93bnJldi54bWxQSwUGAAAAAAQABAD5AAAAkgMAAAAA&#10;" strokecolor="#e6d1dd" strokeweight="1.0499mm"/>
              <v:shapetype id="_x0000_t202" coordsize="21600,21600" o:spt="202" path="m,l,21600r21600,l21600,xe">
                <v:stroke joinstyle="miter"/>
                <v:path gradientshapeok="t" o:connecttype="rect"/>
              </v:shapetype>
              <v:shape id="Text Box 5" o:spid="_x0000_s1030" type="#_x0000_t202" style="position:absolute;left:566;top:526;width:11339;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D75CEE" w:rsidRDefault="0009183B" w:rsidP="00D75CEE">
                      <w:pPr>
                        <w:spacing w:line="335" w:lineRule="exact"/>
                        <w:ind w:right="568"/>
                        <w:jc w:val="right"/>
                        <w:rPr>
                          <w:rFonts w:ascii="Arial"/>
                          <w:b/>
                          <w:sz w:val="30"/>
                        </w:rPr>
                      </w:pPr>
                      <w:r>
                        <w:rPr>
                          <w:rFonts w:ascii="Arial"/>
                          <w:b/>
                          <w:spacing w:val="-2"/>
                          <w:sz w:val="30"/>
                        </w:rPr>
                        <w:t>2021</w:t>
                      </w:r>
                    </w:p>
                    <w:p w:rsidR="00D75CEE" w:rsidRDefault="0009183B" w:rsidP="00D75CEE">
                      <w:pPr>
                        <w:spacing w:before="102"/>
                        <w:ind w:right="568"/>
                        <w:jc w:val="right"/>
                        <w:rPr>
                          <w:rFonts w:ascii="Myriad Pro"/>
                          <w:sz w:val="20"/>
                        </w:rPr>
                      </w:pPr>
                      <w:r>
                        <w:rPr>
                          <w:rFonts w:ascii="Myriad Pro"/>
                          <w:sz w:val="20"/>
                        </w:rPr>
                        <w:t xml:space="preserve">Vol.4 </w:t>
                      </w:r>
                      <w:r w:rsidR="00466D12">
                        <w:rPr>
                          <w:rFonts w:ascii="Myriad Pro"/>
                          <w:sz w:val="20"/>
                        </w:rPr>
                        <w:t>No.4</w:t>
                      </w:r>
                    </w:p>
                  </w:txbxContent>
                </v:textbox>
              </v:shape>
              <v:shape id="Text Box 4" o:spid="_x0000_s1031" type="#_x0000_t202" style="position:absolute;left:4350;top:711;width:4986;height: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D75CEE" w:rsidRDefault="00D75CEE" w:rsidP="00D75CEE">
                      <w:pPr>
                        <w:spacing w:line="297" w:lineRule="exact"/>
                        <w:rPr>
                          <w:rFonts w:ascii="Myriad Pro"/>
                          <w:b/>
                          <w:sz w:val="24"/>
                        </w:rPr>
                      </w:pPr>
                      <w:r>
                        <w:rPr>
                          <w:rFonts w:ascii="Myriad Pro"/>
                          <w:b/>
                          <w:color w:val="FFFFFF"/>
                          <w:w w:val="95"/>
                          <w:sz w:val="24"/>
                        </w:rPr>
                        <w:t xml:space="preserve">Journal of </w:t>
                      </w:r>
                      <w:r w:rsidR="0009183B" w:rsidRPr="0009183B">
                        <w:rPr>
                          <w:rFonts w:ascii="Myriad Pro"/>
                          <w:b/>
                          <w:color w:val="FFFFFF"/>
                          <w:w w:val="95"/>
                          <w:sz w:val="24"/>
                        </w:rPr>
                        <w:t>Alzheimer's &amp; Dementia</w:t>
                      </w:r>
                    </w:p>
                  </w:txbxContent>
                </v:textbox>
              </v:shape>
              <v:shape id="Text Box 3" o:spid="_x0000_s1032" type="#_x0000_t202" style="position:absolute;left:806;top:768;width:1993;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D75CEE" w:rsidRDefault="00D75CEE" w:rsidP="00D75CEE">
                      <w:pPr>
                        <w:spacing w:line="260" w:lineRule="exact"/>
                        <w:rPr>
                          <w:rFonts w:ascii="Calibri"/>
                          <w:b/>
                          <w:sz w:val="26"/>
                        </w:rPr>
                      </w:pPr>
                      <w:r>
                        <w:rPr>
                          <w:rFonts w:ascii="Calibri"/>
                          <w:b/>
                          <w:color w:val="FFFFFF"/>
                          <w:sz w:val="26"/>
                        </w:rPr>
                        <w:t>Extended Abstract</w:t>
                      </w:r>
                    </w:p>
                  </w:txbxContent>
                </v:textbox>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A85"/>
    <w:rsid w:val="0009183B"/>
    <w:rsid w:val="00096FB2"/>
    <w:rsid w:val="00125E91"/>
    <w:rsid w:val="001637A6"/>
    <w:rsid w:val="0018089E"/>
    <w:rsid w:val="002048B9"/>
    <w:rsid w:val="00280A85"/>
    <w:rsid w:val="002B0130"/>
    <w:rsid w:val="00466D12"/>
    <w:rsid w:val="00485123"/>
    <w:rsid w:val="005056DF"/>
    <w:rsid w:val="006143B2"/>
    <w:rsid w:val="00656CEB"/>
    <w:rsid w:val="007130F3"/>
    <w:rsid w:val="00765108"/>
    <w:rsid w:val="008358CA"/>
    <w:rsid w:val="009644AB"/>
    <w:rsid w:val="0098002E"/>
    <w:rsid w:val="009840DD"/>
    <w:rsid w:val="00AA7B89"/>
    <w:rsid w:val="00D345F0"/>
    <w:rsid w:val="00D75CEE"/>
    <w:rsid w:val="00E425BF"/>
    <w:rsid w:val="00F330F3"/>
    <w:rsid w:val="00F67CC8"/>
    <w:rsid w:val="00F73733"/>
    <w:rsid w:val="00FD3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nion Pro" w:eastAsia="Minion Pro" w:hAnsi="Minion Pro" w:cs="Minion Pro"/>
      <w:lang w:bidi="en-US"/>
    </w:rPr>
  </w:style>
  <w:style w:type="paragraph" w:styleId="Heading1">
    <w:name w:val="heading 1"/>
    <w:basedOn w:val="Normal"/>
    <w:uiPriority w:val="1"/>
    <w:qFormat/>
    <w:pPr>
      <w:spacing w:before="125"/>
      <w:ind w:left="110"/>
      <w:outlineLvl w:val="0"/>
    </w:pPr>
    <w:rPr>
      <w:rFonts w:ascii="Tw Cen MT" w:eastAsia="Tw Cen MT" w:hAnsi="Tw Cen MT" w:cs="Tw Cen MT"/>
      <w:b/>
      <w:bCs/>
      <w:sz w:val="36"/>
      <w:szCs w:val="36"/>
    </w:rPr>
  </w:style>
  <w:style w:type="paragraph" w:styleId="Heading2">
    <w:name w:val="heading 2"/>
    <w:basedOn w:val="Normal"/>
    <w:next w:val="Normal"/>
    <w:link w:val="Heading2Char"/>
    <w:uiPriority w:val="9"/>
    <w:semiHidden/>
    <w:unhideWhenUsed/>
    <w:qFormat/>
    <w:rsid w:val="009644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130F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43B2"/>
    <w:pPr>
      <w:tabs>
        <w:tab w:val="center" w:pos="4680"/>
        <w:tab w:val="right" w:pos="9360"/>
      </w:tabs>
    </w:pPr>
  </w:style>
  <w:style w:type="character" w:customStyle="1" w:styleId="HeaderChar">
    <w:name w:val="Header Char"/>
    <w:basedOn w:val="DefaultParagraphFont"/>
    <w:link w:val="Header"/>
    <w:uiPriority w:val="99"/>
    <w:rsid w:val="006143B2"/>
    <w:rPr>
      <w:rFonts w:ascii="Minion Pro" w:eastAsia="Minion Pro" w:hAnsi="Minion Pro" w:cs="Minion Pro"/>
      <w:lang w:bidi="en-US"/>
    </w:rPr>
  </w:style>
  <w:style w:type="paragraph" w:styleId="Footer">
    <w:name w:val="footer"/>
    <w:basedOn w:val="Normal"/>
    <w:link w:val="FooterChar"/>
    <w:uiPriority w:val="99"/>
    <w:unhideWhenUsed/>
    <w:rsid w:val="006143B2"/>
    <w:pPr>
      <w:tabs>
        <w:tab w:val="center" w:pos="4680"/>
        <w:tab w:val="right" w:pos="9360"/>
      </w:tabs>
    </w:pPr>
  </w:style>
  <w:style w:type="character" w:customStyle="1" w:styleId="FooterChar">
    <w:name w:val="Footer Char"/>
    <w:basedOn w:val="DefaultParagraphFont"/>
    <w:link w:val="Footer"/>
    <w:uiPriority w:val="99"/>
    <w:rsid w:val="006143B2"/>
    <w:rPr>
      <w:rFonts w:ascii="Minion Pro" w:eastAsia="Minion Pro" w:hAnsi="Minion Pro" w:cs="Minion Pro"/>
      <w:lang w:bidi="en-US"/>
    </w:rPr>
  </w:style>
  <w:style w:type="paragraph" w:styleId="BalloonText">
    <w:name w:val="Balloon Text"/>
    <w:basedOn w:val="Normal"/>
    <w:link w:val="BalloonTextChar"/>
    <w:uiPriority w:val="99"/>
    <w:semiHidden/>
    <w:unhideWhenUsed/>
    <w:rsid w:val="006143B2"/>
    <w:rPr>
      <w:rFonts w:ascii="Tahoma" w:hAnsi="Tahoma" w:cs="Tahoma"/>
      <w:sz w:val="16"/>
      <w:szCs w:val="16"/>
    </w:rPr>
  </w:style>
  <w:style w:type="character" w:customStyle="1" w:styleId="BalloonTextChar">
    <w:name w:val="Balloon Text Char"/>
    <w:basedOn w:val="DefaultParagraphFont"/>
    <w:link w:val="BalloonText"/>
    <w:uiPriority w:val="99"/>
    <w:semiHidden/>
    <w:rsid w:val="006143B2"/>
    <w:rPr>
      <w:rFonts w:ascii="Tahoma" w:eastAsia="Minion Pro" w:hAnsi="Tahoma" w:cs="Tahoma"/>
      <w:sz w:val="16"/>
      <w:szCs w:val="16"/>
      <w:lang w:bidi="en-US"/>
    </w:rPr>
  </w:style>
  <w:style w:type="character" w:customStyle="1" w:styleId="Heading2Char">
    <w:name w:val="Heading 2 Char"/>
    <w:basedOn w:val="DefaultParagraphFont"/>
    <w:link w:val="Heading2"/>
    <w:uiPriority w:val="9"/>
    <w:semiHidden/>
    <w:rsid w:val="009644AB"/>
    <w:rPr>
      <w:rFonts w:asciiTheme="majorHAnsi" w:eastAsiaTheme="majorEastAsia" w:hAnsiTheme="majorHAnsi" w:cstheme="majorBidi"/>
      <w:b/>
      <w:bCs/>
      <w:color w:val="4F81BD" w:themeColor="accent1"/>
      <w:sz w:val="26"/>
      <w:szCs w:val="26"/>
      <w:lang w:bidi="en-US"/>
    </w:rPr>
  </w:style>
  <w:style w:type="character" w:customStyle="1" w:styleId="Heading3Char">
    <w:name w:val="Heading 3 Char"/>
    <w:basedOn w:val="DefaultParagraphFont"/>
    <w:link w:val="Heading3"/>
    <w:uiPriority w:val="9"/>
    <w:semiHidden/>
    <w:rsid w:val="007130F3"/>
    <w:rPr>
      <w:rFonts w:asciiTheme="majorHAnsi" w:eastAsiaTheme="majorEastAsia" w:hAnsiTheme="majorHAnsi" w:cstheme="majorBidi"/>
      <w:b/>
      <w:bCs/>
      <w:color w:val="4F81BD" w:themeColor="accent1"/>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nion Pro" w:eastAsia="Minion Pro" w:hAnsi="Minion Pro" w:cs="Minion Pro"/>
      <w:lang w:bidi="en-US"/>
    </w:rPr>
  </w:style>
  <w:style w:type="paragraph" w:styleId="Heading1">
    <w:name w:val="heading 1"/>
    <w:basedOn w:val="Normal"/>
    <w:uiPriority w:val="1"/>
    <w:qFormat/>
    <w:pPr>
      <w:spacing w:before="125"/>
      <w:ind w:left="110"/>
      <w:outlineLvl w:val="0"/>
    </w:pPr>
    <w:rPr>
      <w:rFonts w:ascii="Tw Cen MT" w:eastAsia="Tw Cen MT" w:hAnsi="Tw Cen MT" w:cs="Tw Cen MT"/>
      <w:b/>
      <w:bCs/>
      <w:sz w:val="36"/>
      <w:szCs w:val="36"/>
    </w:rPr>
  </w:style>
  <w:style w:type="paragraph" w:styleId="Heading2">
    <w:name w:val="heading 2"/>
    <w:basedOn w:val="Normal"/>
    <w:next w:val="Normal"/>
    <w:link w:val="Heading2Char"/>
    <w:uiPriority w:val="9"/>
    <w:semiHidden/>
    <w:unhideWhenUsed/>
    <w:qFormat/>
    <w:rsid w:val="009644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130F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43B2"/>
    <w:pPr>
      <w:tabs>
        <w:tab w:val="center" w:pos="4680"/>
        <w:tab w:val="right" w:pos="9360"/>
      </w:tabs>
    </w:pPr>
  </w:style>
  <w:style w:type="character" w:customStyle="1" w:styleId="HeaderChar">
    <w:name w:val="Header Char"/>
    <w:basedOn w:val="DefaultParagraphFont"/>
    <w:link w:val="Header"/>
    <w:uiPriority w:val="99"/>
    <w:rsid w:val="006143B2"/>
    <w:rPr>
      <w:rFonts w:ascii="Minion Pro" w:eastAsia="Minion Pro" w:hAnsi="Minion Pro" w:cs="Minion Pro"/>
      <w:lang w:bidi="en-US"/>
    </w:rPr>
  </w:style>
  <w:style w:type="paragraph" w:styleId="Footer">
    <w:name w:val="footer"/>
    <w:basedOn w:val="Normal"/>
    <w:link w:val="FooterChar"/>
    <w:uiPriority w:val="99"/>
    <w:unhideWhenUsed/>
    <w:rsid w:val="006143B2"/>
    <w:pPr>
      <w:tabs>
        <w:tab w:val="center" w:pos="4680"/>
        <w:tab w:val="right" w:pos="9360"/>
      </w:tabs>
    </w:pPr>
  </w:style>
  <w:style w:type="character" w:customStyle="1" w:styleId="FooterChar">
    <w:name w:val="Footer Char"/>
    <w:basedOn w:val="DefaultParagraphFont"/>
    <w:link w:val="Footer"/>
    <w:uiPriority w:val="99"/>
    <w:rsid w:val="006143B2"/>
    <w:rPr>
      <w:rFonts w:ascii="Minion Pro" w:eastAsia="Minion Pro" w:hAnsi="Minion Pro" w:cs="Minion Pro"/>
      <w:lang w:bidi="en-US"/>
    </w:rPr>
  </w:style>
  <w:style w:type="paragraph" w:styleId="BalloonText">
    <w:name w:val="Balloon Text"/>
    <w:basedOn w:val="Normal"/>
    <w:link w:val="BalloonTextChar"/>
    <w:uiPriority w:val="99"/>
    <w:semiHidden/>
    <w:unhideWhenUsed/>
    <w:rsid w:val="006143B2"/>
    <w:rPr>
      <w:rFonts w:ascii="Tahoma" w:hAnsi="Tahoma" w:cs="Tahoma"/>
      <w:sz w:val="16"/>
      <w:szCs w:val="16"/>
    </w:rPr>
  </w:style>
  <w:style w:type="character" w:customStyle="1" w:styleId="BalloonTextChar">
    <w:name w:val="Balloon Text Char"/>
    <w:basedOn w:val="DefaultParagraphFont"/>
    <w:link w:val="BalloonText"/>
    <w:uiPriority w:val="99"/>
    <w:semiHidden/>
    <w:rsid w:val="006143B2"/>
    <w:rPr>
      <w:rFonts w:ascii="Tahoma" w:eastAsia="Minion Pro" w:hAnsi="Tahoma" w:cs="Tahoma"/>
      <w:sz w:val="16"/>
      <w:szCs w:val="16"/>
      <w:lang w:bidi="en-US"/>
    </w:rPr>
  </w:style>
  <w:style w:type="character" w:customStyle="1" w:styleId="Heading2Char">
    <w:name w:val="Heading 2 Char"/>
    <w:basedOn w:val="DefaultParagraphFont"/>
    <w:link w:val="Heading2"/>
    <w:uiPriority w:val="9"/>
    <w:semiHidden/>
    <w:rsid w:val="009644AB"/>
    <w:rPr>
      <w:rFonts w:asciiTheme="majorHAnsi" w:eastAsiaTheme="majorEastAsia" w:hAnsiTheme="majorHAnsi" w:cstheme="majorBidi"/>
      <w:b/>
      <w:bCs/>
      <w:color w:val="4F81BD" w:themeColor="accent1"/>
      <w:sz w:val="26"/>
      <w:szCs w:val="26"/>
      <w:lang w:bidi="en-US"/>
    </w:rPr>
  </w:style>
  <w:style w:type="character" w:customStyle="1" w:styleId="Heading3Char">
    <w:name w:val="Heading 3 Char"/>
    <w:basedOn w:val="DefaultParagraphFont"/>
    <w:link w:val="Heading3"/>
    <w:uiPriority w:val="9"/>
    <w:semiHidden/>
    <w:rsid w:val="007130F3"/>
    <w:rPr>
      <w:rFonts w:asciiTheme="majorHAnsi" w:eastAsiaTheme="majorEastAsia" w:hAnsiTheme="majorHAnsi" w:cstheme="majorBidi"/>
      <w:b/>
      <w:bCs/>
      <w:color w:val="4F81BD" w:themeColor="accent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2713">
      <w:bodyDiv w:val="1"/>
      <w:marLeft w:val="0"/>
      <w:marRight w:val="0"/>
      <w:marTop w:val="0"/>
      <w:marBottom w:val="0"/>
      <w:divBdr>
        <w:top w:val="none" w:sz="0" w:space="0" w:color="auto"/>
        <w:left w:val="none" w:sz="0" w:space="0" w:color="auto"/>
        <w:bottom w:val="none" w:sz="0" w:space="0" w:color="auto"/>
        <w:right w:val="none" w:sz="0" w:space="0" w:color="auto"/>
      </w:divBdr>
    </w:div>
    <w:div w:id="133528531">
      <w:bodyDiv w:val="1"/>
      <w:marLeft w:val="0"/>
      <w:marRight w:val="0"/>
      <w:marTop w:val="0"/>
      <w:marBottom w:val="0"/>
      <w:divBdr>
        <w:top w:val="none" w:sz="0" w:space="0" w:color="auto"/>
        <w:left w:val="none" w:sz="0" w:space="0" w:color="auto"/>
        <w:bottom w:val="none" w:sz="0" w:space="0" w:color="auto"/>
        <w:right w:val="none" w:sz="0" w:space="0" w:color="auto"/>
      </w:divBdr>
    </w:div>
    <w:div w:id="292446998">
      <w:bodyDiv w:val="1"/>
      <w:marLeft w:val="0"/>
      <w:marRight w:val="0"/>
      <w:marTop w:val="0"/>
      <w:marBottom w:val="0"/>
      <w:divBdr>
        <w:top w:val="none" w:sz="0" w:space="0" w:color="auto"/>
        <w:left w:val="none" w:sz="0" w:space="0" w:color="auto"/>
        <w:bottom w:val="none" w:sz="0" w:space="0" w:color="auto"/>
        <w:right w:val="none" w:sz="0" w:space="0" w:color="auto"/>
      </w:divBdr>
    </w:div>
    <w:div w:id="328795875">
      <w:bodyDiv w:val="1"/>
      <w:marLeft w:val="0"/>
      <w:marRight w:val="0"/>
      <w:marTop w:val="0"/>
      <w:marBottom w:val="0"/>
      <w:divBdr>
        <w:top w:val="none" w:sz="0" w:space="0" w:color="auto"/>
        <w:left w:val="none" w:sz="0" w:space="0" w:color="auto"/>
        <w:bottom w:val="none" w:sz="0" w:space="0" w:color="auto"/>
        <w:right w:val="none" w:sz="0" w:space="0" w:color="auto"/>
      </w:divBdr>
    </w:div>
    <w:div w:id="337342777">
      <w:bodyDiv w:val="1"/>
      <w:marLeft w:val="0"/>
      <w:marRight w:val="0"/>
      <w:marTop w:val="0"/>
      <w:marBottom w:val="0"/>
      <w:divBdr>
        <w:top w:val="none" w:sz="0" w:space="0" w:color="auto"/>
        <w:left w:val="none" w:sz="0" w:space="0" w:color="auto"/>
        <w:bottom w:val="none" w:sz="0" w:space="0" w:color="auto"/>
        <w:right w:val="none" w:sz="0" w:space="0" w:color="auto"/>
      </w:divBdr>
    </w:div>
    <w:div w:id="366494008">
      <w:bodyDiv w:val="1"/>
      <w:marLeft w:val="0"/>
      <w:marRight w:val="0"/>
      <w:marTop w:val="0"/>
      <w:marBottom w:val="0"/>
      <w:divBdr>
        <w:top w:val="none" w:sz="0" w:space="0" w:color="auto"/>
        <w:left w:val="none" w:sz="0" w:space="0" w:color="auto"/>
        <w:bottom w:val="none" w:sz="0" w:space="0" w:color="auto"/>
        <w:right w:val="none" w:sz="0" w:space="0" w:color="auto"/>
      </w:divBdr>
    </w:div>
    <w:div w:id="413014132">
      <w:bodyDiv w:val="1"/>
      <w:marLeft w:val="0"/>
      <w:marRight w:val="0"/>
      <w:marTop w:val="0"/>
      <w:marBottom w:val="0"/>
      <w:divBdr>
        <w:top w:val="none" w:sz="0" w:space="0" w:color="auto"/>
        <w:left w:val="none" w:sz="0" w:space="0" w:color="auto"/>
        <w:bottom w:val="none" w:sz="0" w:space="0" w:color="auto"/>
        <w:right w:val="none" w:sz="0" w:space="0" w:color="auto"/>
      </w:divBdr>
    </w:div>
    <w:div w:id="615987549">
      <w:bodyDiv w:val="1"/>
      <w:marLeft w:val="0"/>
      <w:marRight w:val="0"/>
      <w:marTop w:val="0"/>
      <w:marBottom w:val="0"/>
      <w:divBdr>
        <w:top w:val="none" w:sz="0" w:space="0" w:color="auto"/>
        <w:left w:val="none" w:sz="0" w:space="0" w:color="auto"/>
        <w:bottom w:val="none" w:sz="0" w:space="0" w:color="auto"/>
        <w:right w:val="none" w:sz="0" w:space="0" w:color="auto"/>
      </w:divBdr>
    </w:div>
    <w:div w:id="759790219">
      <w:bodyDiv w:val="1"/>
      <w:marLeft w:val="0"/>
      <w:marRight w:val="0"/>
      <w:marTop w:val="0"/>
      <w:marBottom w:val="0"/>
      <w:divBdr>
        <w:top w:val="none" w:sz="0" w:space="0" w:color="auto"/>
        <w:left w:val="none" w:sz="0" w:space="0" w:color="auto"/>
        <w:bottom w:val="none" w:sz="0" w:space="0" w:color="auto"/>
        <w:right w:val="none" w:sz="0" w:space="0" w:color="auto"/>
      </w:divBdr>
    </w:div>
    <w:div w:id="769274251">
      <w:bodyDiv w:val="1"/>
      <w:marLeft w:val="0"/>
      <w:marRight w:val="0"/>
      <w:marTop w:val="0"/>
      <w:marBottom w:val="0"/>
      <w:divBdr>
        <w:top w:val="none" w:sz="0" w:space="0" w:color="auto"/>
        <w:left w:val="none" w:sz="0" w:space="0" w:color="auto"/>
        <w:bottom w:val="none" w:sz="0" w:space="0" w:color="auto"/>
        <w:right w:val="none" w:sz="0" w:space="0" w:color="auto"/>
      </w:divBdr>
    </w:div>
    <w:div w:id="851996330">
      <w:bodyDiv w:val="1"/>
      <w:marLeft w:val="0"/>
      <w:marRight w:val="0"/>
      <w:marTop w:val="0"/>
      <w:marBottom w:val="0"/>
      <w:divBdr>
        <w:top w:val="none" w:sz="0" w:space="0" w:color="auto"/>
        <w:left w:val="none" w:sz="0" w:space="0" w:color="auto"/>
        <w:bottom w:val="none" w:sz="0" w:space="0" w:color="auto"/>
        <w:right w:val="none" w:sz="0" w:space="0" w:color="auto"/>
      </w:divBdr>
      <w:divsChild>
        <w:div w:id="278143960">
          <w:marLeft w:val="0"/>
          <w:marRight w:val="0"/>
          <w:marTop w:val="0"/>
          <w:marBottom w:val="0"/>
          <w:divBdr>
            <w:top w:val="none" w:sz="0" w:space="0" w:color="auto"/>
            <w:left w:val="none" w:sz="0" w:space="0" w:color="auto"/>
            <w:bottom w:val="none" w:sz="0" w:space="0" w:color="auto"/>
            <w:right w:val="none" w:sz="0" w:space="0" w:color="auto"/>
          </w:divBdr>
        </w:div>
      </w:divsChild>
    </w:div>
    <w:div w:id="1008675432">
      <w:bodyDiv w:val="1"/>
      <w:marLeft w:val="0"/>
      <w:marRight w:val="0"/>
      <w:marTop w:val="0"/>
      <w:marBottom w:val="0"/>
      <w:divBdr>
        <w:top w:val="none" w:sz="0" w:space="0" w:color="auto"/>
        <w:left w:val="none" w:sz="0" w:space="0" w:color="auto"/>
        <w:bottom w:val="none" w:sz="0" w:space="0" w:color="auto"/>
        <w:right w:val="none" w:sz="0" w:space="0" w:color="auto"/>
      </w:divBdr>
    </w:div>
    <w:div w:id="1019085943">
      <w:bodyDiv w:val="1"/>
      <w:marLeft w:val="0"/>
      <w:marRight w:val="0"/>
      <w:marTop w:val="0"/>
      <w:marBottom w:val="0"/>
      <w:divBdr>
        <w:top w:val="none" w:sz="0" w:space="0" w:color="auto"/>
        <w:left w:val="none" w:sz="0" w:space="0" w:color="auto"/>
        <w:bottom w:val="none" w:sz="0" w:space="0" w:color="auto"/>
        <w:right w:val="none" w:sz="0" w:space="0" w:color="auto"/>
      </w:divBdr>
      <w:divsChild>
        <w:div w:id="27025383">
          <w:marLeft w:val="0"/>
          <w:marRight w:val="0"/>
          <w:marTop w:val="150"/>
          <w:marBottom w:val="270"/>
          <w:divBdr>
            <w:top w:val="none" w:sz="0" w:space="0" w:color="auto"/>
            <w:left w:val="none" w:sz="0" w:space="0" w:color="auto"/>
            <w:bottom w:val="none" w:sz="0" w:space="0" w:color="auto"/>
            <w:right w:val="none" w:sz="0" w:space="0" w:color="auto"/>
          </w:divBdr>
          <w:divsChild>
            <w:div w:id="1331057309">
              <w:marLeft w:val="0"/>
              <w:marRight w:val="0"/>
              <w:marTop w:val="0"/>
              <w:marBottom w:val="0"/>
              <w:divBdr>
                <w:top w:val="none" w:sz="0" w:space="0" w:color="auto"/>
                <w:left w:val="none" w:sz="0" w:space="0" w:color="auto"/>
                <w:bottom w:val="none" w:sz="0" w:space="0" w:color="auto"/>
                <w:right w:val="none" w:sz="0" w:space="0" w:color="auto"/>
              </w:divBdr>
            </w:div>
            <w:div w:id="1928728578">
              <w:marLeft w:val="0"/>
              <w:marRight w:val="0"/>
              <w:marTop w:val="0"/>
              <w:marBottom w:val="0"/>
              <w:divBdr>
                <w:top w:val="none" w:sz="0" w:space="0" w:color="auto"/>
                <w:left w:val="none" w:sz="0" w:space="0" w:color="auto"/>
                <w:bottom w:val="none" w:sz="0" w:space="0" w:color="auto"/>
                <w:right w:val="none" w:sz="0" w:space="0" w:color="auto"/>
              </w:divBdr>
            </w:div>
            <w:div w:id="652638660">
              <w:marLeft w:val="0"/>
              <w:marRight w:val="0"/>
              <w:marTop w:val="0"/>
              <w:marBottom w:val="0"/>
              <w:divBdr>
                <w:top w:val="none" w:sz="0" w:space="0" w:color="auto"/>
                <w:left w:val="none" w:sz="0" w:space="0" w:color="auto"/>
                <w:bottom w:val="none" w:sz="0" w:space="0" w:color="auto"/>
                <w:right w:val="none" w:sz="0" w:space="0" w:color="auto"/>
              </w:divBdr>
            </w:div>
            <w:div w:id="18707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2593">
      <w:bodyDiv w:val="1"/>
      <w:marLeft w:val="0"/>
      <w:marRight w:val="0"/>
      <w:marTop w:val="0"/>
      <w:marBottom w:val="0"/>
      <w:divBdr>
        <w:top w:val="none" w:sz="0" w:space="0" w:color="auto"/>
        <w:left w:val="none" w:sz="0" w:space="0" w:color="auto"/>
        <w:bottom w:val="none" w:sz="0" w:space="0" w:color="auto"/>
        <w:right w:val="none" w:sz="0" w:space="0" w:color="auto"/>
      </w:divBdr>
    </w:div>
    <w:div w:id="1310750315">
      <w:bodyDiv w:val="1"/>
      <w:marLeft w:val="0"/>
      <w:marRight w:val="0"/>
      <w:marTop w:val="0"/>
      <w:marBottom w:val="0"/>
      <w:divBdr>
        <w:top w:val="none" w:sz="0" w:space="0" w:color="auto"/>
        <w:left w:val="none" w:sz="0" w:space="0" w:color="auto"/>
        <w:bottom w:val="none" w:sz="0" w:space="0" w:color="auto"/>
        <w:right w:val="none" w:sz="0" w:space="0" w:color="auto"/>
      </w:divBdr>
    </w:div>
    <w:div w:id="1326665280">
      <w:bodyDiv w:val="1"/>
      <w:marLeft w:val="0"/>
      <w:marRight w:val="0"/>
      <w:marTop w:val="0"/>
      <w:marBottom w:val="0"/>
      <w:divBdr>
        <w:top w:val="none" w:sz="0" w:space="0" w:color="auto"/>
        <w:left w:val="none" w:sz="0" w:space="0" w:color="auto"/>
        <w:bottom w:val="none" w:sz="0" w:space="0" w:color="auto"/>
        <w:right w:val="none" w:sz="0" w:space="0" w:color="auto"/>
      </w:divBdr>
    </w:div>
    <w:div w:id="1355494062">
      <w:bodyDiv w:val="1"/>
      <w:marLeft w:val="0"/>
      <w:marRight w:val="0"/>
      <w:marTop w:val="0"/>
      <w:marBottom w:val="0"/>
      <w:divBdr>
        <w:top w:val="none" w:sz="0" w:space="0" w:color="auto"/>
        <w:left w:val="none" w:sz="0" w:space="0" w:color="auto"/>
        <w:bottom w:val="none" w:sz="0" w:space="0" w:color="auto"/>
        <w:right w:val="none" w:sz="0" w:space="0" w:color="auto"/>
      </w:divBdr>
    </w:div>
    <w:div w:id="1460370353">
      <w:bodyDiv w:val="1"/>
      <w:marLeft w:val="0"/>
      <w:marRight w:val="0"/>
      <w:marTop w:val="0"/>
      <w:marBottom w:val="0"/>
      <w:divBdr>
        <w:top w:val="none" w:sz="0" w:space="0" w:color="auto"/>
        <w:left w:val="none" w:sz="0" w:space="0" w:color="auto"/>
        <w:bottom w:val="none" w:sz="0" w:space="0" w:color="auto"/>
        <w:right w:val="none" w:sz="0" w:space="0" w:color="auto"/>
      </w:divBdr>
    </w:div>
    <w:div w:id="1470709086">
      <w:bodyDiv w:val="1"/>
      <w:marLeft w:val="0"/>
      <w:marRight w:val="0"/>
      <w:marTop w:val="0"/>
      <w:marBottom w:val="0"/>
      <w:divBdr>
        <w:top w:val="none" w:sz="0" w:space="0" w:color="auto"/>
        <w:left w:val="none" w:sz="0" w:space="0" w:color="auto"/>
        <w:bottom w:val="none" w:sz="0" w:space="0" w:color="auto"/>
        <w:right w:val="none" w:sz="0" w:space="0" w:color="auto"/>
      </w:divBdr>
    </w:div>
    <w:div w:id="1604024772">
      <w:bodyDiv w:val="1"/>
      <w:marLeft w:val="0"/>
      <w:marRight w:val="0"/>
      <w:marTop w:val="0"/>
      <w:marBottom w:val="0"/>
      <w:divBdr>
        <w:top w:val="none" w:sz="0" w:space="0" w:color="auto"/>
        <w:left w:val="none" w:sz="0" w:space="0" w:color="auto"/>
        <w:bottom w:val="none" w:sz="0" w:space="0" w:color="auto"/>
        <w:right w:val="none" w:sz="0" w:space="0" w:color="auto"/>
      </w:divBdr>
    </w:div>
    <w:div w:id="1629622145">
      <w:bodyDiv w:val="1"/>
      <w:marLeft w:val="0"/>
      <w:marRight w:val="0"/>
      <w:marTop w:val="0"/>
      <w:marBottom w:val="0"/>
      <w:divBdr>
        <w:top w:val="none" w:sz="0" w:space="0" w:color="auto"/>
        <w:left w:val="none" w:sz="0" w:space="0" w:color="auto"/>
        <w:bottom w:val="none" w:sz="0" w:space="0" w:color="auto"/>
        <w:right w:val="none" w:sz="0" w:space="0" w:color="auto"/>
      </w:divBdr>
    </w:div>
    <w:div w:id="1874539314">
      <w:bodyDiv w:val="1"/>
      <w:marLeft w:val="0"/>
      <w:marRight w:val="0"/>
      <w:marTop w:val="0"/>
      <w:marBottom w:val="0"/>
      <w:divBdr>
        <w:top w:val="none" w:sz="0" w:space="0" w:color="auto"/>
        <w:left w:val="none" w:sz="0" w:space="0" w:color="auto"/>
        <w:bottom w:val="none" w:sz="0" w:space="0" w:color="auto"/>
        <w:right w:val="none" w:sz="0" w:space="0" w:color="auto"/>
      </w:divBdr>
    </w:div>
    <w:div w:id="1884558702">
      <w:bodyDiv w:val="1"/>
      <w:marLeft w:val="0"/>
      <w:marRight w:val="0"/>
      <w:marTop w:val="0"/>
      <w:marBottom w:val="0"/>
      <w:divBdr>
        <w:top w:val="none" w:sz="0" w:space="0" w:color="auto"/>
        <w:left w:val="none" w:sz="0" w:space="0" w:color="auto"/>
        <w:bottom w:val="none" w:sz="0" w:space="0" w:color="auto"/>
        <w:right w:val="none" w:sz="0" w:space="0" w:color="auto"/>
      </w:divBdr>
    </w:div>
    <w:div w:id="1925531407">
      <w:bodyDiv w:val="1"/>
      <w:marLeft w:val="0"/>
      <w:marRight w:val="0"/>
      <w:marTop w:val="0"/>
      <w:marBottom w:val="0"/>
      <w:divBdr>
        <w:top w:val="none" w:sz="0" w:space="0" w:color="auto"/>
        <w:left w:val="none" w:sz="0" w:space="0" w:color="auto"/>
        <w:bottom w:val="none" w:sz="0" w:space="0" w:color="auto"/>
        <w:right w:val="none" w:sz="0" w:space="0" w:color="auto"/>
      </w:divBdr>
    </w:div>
    <w:div w:id="1945264656">
      <w:bodyDiv w:val="1"/>
      <w:marLeft w:val="0"/>
      <w:marRight w:val="0"/>
      <w:marTop w:val="0"/>
      <w:marBottom w:val="0"/>
      <w:divBdr>
        <w:top w:val="none" w:sz="0" w:space="0" w:color="auto"/>
        <w:left w:val="none" w:sz="0" w:space="0" w:color="auto"/>
        <w:bottom w:val="none" w:sz="0" w:space="0" w:color="auto"/>
        <w:right w:val="none" w:sz="0" w:space="0" w:color="auto"/>
      </w:divBdr>
    </w:div>
    <w:div w:id="1953588202">
      <w:bodyDiv w:val="1"/>
      <w:marLeft w:val="0"/>
      <w:marRight w:val="0"/>
      <w:marTop w:val="0"/>
      <w:marBottom w:val="0"/>
      <w:divBdr>
        <w:top w:val="none" w:sz="0" w:space="0" w:color="auto"/>
        <w:left w:val="none" w:sz="0" w:space="0" w:color="auto"/>
        <w:bottom w:val="none" w:sz="0" w:space="0" w:color="auto"/>
        <w:right w:val="none" w:sz="0" w:space="0" w:color="auto"/>
      </w:divBdr>
    </w:div>
    <w:div w:id="2117753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sunitha</dc:creator>
  <cp:lastModifiedBy>pulsus</cp:lastModifiedBy>
  <cp:revision>4</cp:revision>
  <cp:lastPrinted>2021-10-19T09:13:00Z</cp:lastPrinted>
  <dcterms:created xsi:type="dcterms:W3CDTF">2021-08-28T07:29:00Z</dcterms:created>
  <dcterms:modified xsi:type="dcterms:W3CDTF">2021-10-19T09:16:00Z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2020-06-16T00:00:00Z</vt:filetime>
  </property>
  <property fmtid="{D5CDD505-2E9C-101B-9397-08002B2CF9AE}" pid="3" name="Creator">
    <vt:lpwstr>Adobe InDesign 15.0 (Windows)</vt:lpwstr>
  </property>
  <property fmtid="{D5CDD505-2E9C-101B-9397-08002B2CF9AE}" pid="4" name="LastSaved">
    <vt:filetime>2020-06-16T00:00:00Z</vt:filetime>
  </property>
</Properties>
</file>