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3C440" w14:textId="6E979AF1" w:rsidR="00A31461" w:rsidRPr="00A31461" w:rsidRDefault="00A31461" w:rsidP="00A31461">
      <w:pPr>
        <w:pStyle w:val="NormalWeb"/>
        <w:kinsoku w:val="0"/>
        <w:overflowPunct w:val="0"/>
        <w:spacing w:before="0" w:beforeAutospacing="0" w:after="0" w:afterAutospacing="0"/>
        <w:jc w:val="center"/>
        <w:textAlignment w:val="baseline"/>
        <w:rPr>
          <w:b/>
          <w:bCs/>
        </w:rPr>
      </w:pPr>
      <w:r w:rsidRPr="00A31461">
        <w:rPr>
          <w:rFonts w:ascii="Arial Black" w:eastAsiaTheme="minorEastAsia" w:hAnsi="Arial Black" w:cstheme="minorBidi"/>
          <w:b/>
          <w:bCs/>
          <w:kern w:val="24"/>
          <w:lang w:val="en-US"/>
        </w:rPr>
        <w:t xml:space="preserve">Genetic mutational status and inflammatory response in metastatic cancer: New implications for </w:t>
      </w:r>
      <w:r w:rsidR="009B2802">
        <w:rPr>
          <w:rFonts w:ascii="Arial Black" w:eastAsiaTheme="minorEastAsia" w:hAnsi="Arial Black" w:cstheme="minorBidi"/>
          <w:b/>
          <w:bCs/>
          <w:kern w:val="24"/>
          <w:lang w:val="en-US"/>
        </w:rPr>
        <w:t xml:space="preserve">exploring </w:t>
      </w:r>
      <w:r w:rsidRPr="00A31461">
        <w:rPr>
          <w:rFonts w:ascii="Arial Black" w:eastAsiaTheme="minorEastAsia" w:hAnsi="Arial Black" w:cstheme="minorBidi"/>
          <w:b/>
          <w:bCs/>
          <w:kern w:val="24"/>
          <w:lang w:val="en-US"/>
        </w:rPr>
        <w:t>immunotherapies.</w:t>
      </w:r>
    </w:p>
    <w:p w14:paraId="3F4C2117" w14:textId="77777777" w:rsidR="00A31461" w:rsidRPr="00A31461" w:rsidRDefault="00A31461" w:rsidP="00BB3CBB">
      <w:pPr>
        <w:kinsoku w:val="0"/>
        <w:overflowPunct w:val="0"/>
        <w:spacing w:line="360" w:lineRule="auto"/>
        <w:textAlignment w:val="baseline"/>
        <w:rPr>
          <w:rFonts w:ascii="Arial" w:eastAsia="Calibri" w:hAnsi="Arial" w:cs="Arial"/>
          <w:b/>
          <w:bCs/>
          <w:color w:val="000000" w:themeColor="text1"/>
          <w:kern w:val="24"/>
        </w:rPr>
      </w:pPr>
    </w:p>
    <w:p w14:paraId="00329965" w14:textId="669E4333" w:rsidR="00A31461" w:rsidRPr="00A31461" w:rsidRDefault="00A31461" w:rsidP="00BB3CBB">
      <w:pPr>
        <w:kinsoku w:val="0"/>
        <w:overflowPunct w:val="0"/>
        <w:spacing w:line="360" w:lineRule="auto"/>
        <w:textAlignment w:val="baseline"/>
        <w:rPr>
          <w:rFonts w:ascii="Arial" w:eastAsia="Calibri" w:hAnsi="Arial" w:cs="Arial"/>
          <w:b/>
          <w:bCs/>
          <w:color w:val="000000" w:themeColor="text1"/>
          <w:kern w:val="24"/>
          <w:lang w:val="en-GB"/>
        </w:rPr>
      </w:pPr>
      <w:r w:rsidRPr="00A31461">
        <w:rPr>
          <w:rFonts w:ascii="Arial" w:eastAsia="Calibri" w:hAnsi="Arial" w:cs="Arial"/>
          <w:b/>
          <w:bCs/>
          <w:color w:val="000000" w:themeColor="text1"/>
          <w:kern w:val="24"/>
          <w:lang w:val="en-GB"/>
        </w:rPr>
        <w:t>Introduction</w:t>
      </w:r>
    </w:p>
    <w:p w14:paraId="5704A815" w14:textId="5028BCD0" w:rsidR="00BB3CBB" w:rsidRDefault="00BB3CBB" w:rsidP="00BB3CBB">
      <w:pPr>
        <w:kinsoku w:val="0"/>
        <w:overflowPunct w:val="0"/>
        <w:spacing w:line="360" w:lineRule="auto"/>
        <w:textAlignment w:val="baseline"/>
        <w:rPr>
          <w:rFonts w:ascii="Arial" w:eastAsia="Calibri" w:hAnsi="Arial" w:cs="Arial"/>
          <w:color w:val="000000" w:themeColor="text1"/>
          <w:kern w:val="24"/>
          <w:lang w:val="en-GB"/>
        </w:rPr>
      </w:pPr>
      <w:r w:rsidRPr="00BB3CBB">
        <w:rPr>
          <w:rFonts w:ascii="Arial" w:eastAsia="Calibri" w:hAnsi="Arial" w:cs="Arial"/>
          <w:color w:val="000000" w:themeColor="text1"/>
          <w:kern w:val="24"/>
          <w:lang w:val="en-GB"/>
        </w:rPr>
        <w:t>Metastatic cancer poses great challenges in oncolog</w:t>
      </w:r>
      <w:r w:rsidR="00BB4966">
        <w:rPr>
          <w:rFonts w:ascii="Arial" w:eastAsia="Calibri" w:hAnsi="Arial" w:cs="Arial"/>
          <w:color w:val="000000" w:themeColor="text1"/>
          <w:kern w:val="24"/>
          <w:lang w:val="en-GB"/>
        </w:rPr>
        <w:t>ic</w:t>
      </w:r>
      <w:r w:rsidRPr="00BB3CBB">
        <w:rPr>
          <w:rFonts w:ascii="Arial" w:eastAsia="Calibri" w:hAnsi="Arial" w:cs="Arial"/>
          <w:color w:val="000000" w:themeColor="text1"/>
          <w:kern w:val="24"/>
          <w:lang w:val="en-GB"/>
        </w:rPr>
        <w:t xml:space="preserve"> </w:t>
      </w:r>
      <w:r w:rsidR="00BB4966">
        <w:rPr>
          <w:rFonts w:ascii="Arial" w:eastAsia="Calibri" w:hAnsi="Arial" w:cs="Arial"/>
          <w:color w:val="000000" w:themeColor="text1"/>
          <w:kern w:val="24"/>
          <w:lang w:val="en-GB"/>
        </w:rPr>
        <w:t xml:space="preserve">treatment. </w:t>
      </w:r>
      <w:r w:rsidRPr="00BB3CBB">
        <w:rPr>
          <w:rFonts w:ascii="Arial" w:eastAsia="Calibri" w:hAnsi="Arial" w:cs="Arial"/>
          <w:color w:val="000000" w:themeColor="text1"/>
          <w:kern w:val="24"/>
          <w:lang w:val="en-GB"/>
        </w:rPr>
        <w:t>While metastatic tumours with specific genetic mutations can be treated with targeted therapy, no such treatment exists for those without these mutations and they are typically treated with toxic chemotherapy agents</w:t>
      </w:r>
      <w:r>
        <w:rPr>
          <w:rFonts w:ascii="Arial" w:eastAsia="Calibri" w:hAnsi="Arial" w:cs="Arial"/>
          <w:color w:val="000000" w:themeColor="text1"/>
          <w:kern w:val="24"/>
          <w:lang w:val="en-GB"/>
        </w:rPr>
        <w:t>.</w:t>
      </w:r>
    </w:p>
    <w:p w14:paraId="1CD39024" w14:textId="0C8F4E9E" w:rsidR="00A31461" w:rsidRPr="00A31461" w:rsidRDefault="00A31461" w:rsidP="00BB3CBB">
      <w:pPr>
        <w:kinsoku w:val="0"/>
        <w:overflowPunct w:val="0"/>
        <w:spacing w:line="360" w:lineRule="auto"/>
        <w:textAlignment w:val="baseline"/>
        <w:rPr>
          <w:rFonts w:ascii="Arial" w:eastAsia="Calibri" w:hAnsi="Arial" w:cs="Arial"/>
          <w:b/>
          <w:bCs/>
          <w:color w:val="000000" w:themeColor="text1"/>
          <w:kern w:val="24"/>
          <w:lang w:val="en-GB"/>
        </w:rPr>
      </w:pPr>
      <w:r w:rsidRPr="00A31461">
        <w:rPr>
          <w:rFonts w:ascii="Arial" w:eastAsia="Calibri" w:hAnsi="Arial" w:cs="Arial"/>
          <w:b/>
          <w:bCs/>
          <w:color w:val="000000" w:themeColor="text1"/>
          <w:kern w:val="24"/>
          <w:lang w:val="en-GB"/>
        </w:rPr>
        <w:t>Methods</w:t>
      </w:r>
    </w:p>
    <w:p w14:paraId="0E11471F" w14:textId="65DD1E67" w:rsidR="00BB3CBB" w:rsidRPr="00BB3CBB" w:rsidRDefault="00BB3CBB" w:rsidP="00BB3CBB">
      <w:pPr>
        <w:kinsoku w:val="0"/>
        <w:overflowPunct w:val="0"/>
        <w:spacing w:line="360" w:lineRule="auto"/>
        <w:textAlignment w:val="baseline"/>
      </w:pPr>
      <w:r w:rsidRPr="00BB3CBB">
        <w:rPr>
          <w:rFonts w:ascii="Arial" w:eastAsia="Calibri" w:hAnsi="Arial" w:cs="Arial"/>
          <w:color w:val="000000" w:themeColor="text1"/>
          <w:kern w:val="24"/>
          <w:lang w:val="en-GB"/>
        </w:rPr>
        <w:t xml:space="preserve">Anonymised histopathology </w:t>
      </w:r>
      <w:r w:rsidR="00BB4966">
        <w:rPr>
          <w:rFonts w:ascii="Arial" w:eastAsia="Calibri" w:hAnsi="Arial" w:cs="Arial"/>
          <w:color w:val="000000" w:themeColor="text1"/>
          <w:kern w:val="24"/>
          <w:lang w:val="en-GB"/>
        </w:rPr>
        <w:t>data</w:t>
      </w:r>
      <w:r w:rsidRPr="00BB3CBB">
        <w:rPr>
          <w:rFonts w:ascii="Arial" w:eastAsia="Calibri" w:hAnsi="Arial" w:cs="Arial"/>
          <w:color w:val="000000" w:themeColor="text1"/>
          <w:kern w:val="24"/>
          <w:lang w:val="en-GB"/>
        </w:rPr>
        <w:t xml:space="preserve"> from </w:t>
      </w:r>
      <w:r w:rsidR="00BB4966">
        <w:rPr>
          <w:rFonts w:ascii="Arial" w:eastAsia="Calibri" w:hAnsi="Arial" w:cs="Arial"/>
          <w:color w:val="000000" w:themeColor="text1"/>
          <w:kern w:val="24"/>
          <w:lang w:val="en-GB"/>
        </w:rPr>
        <w:t xml:space="preserve">clinical audit of </w:t>
      </w:r>
      <w:r w:rsidRPr="00BB3CBB">
        <w:rPr>
          <w:rFonts w:ascii="Arial" w:eastAsia="Calibri" w:hAnsi="Arial" w:cs="Arial"/>
          <w:color w:val="000000" w:themeColor="text1"/>
          <w:kern w:val="24"/>
          <w:lang w:val="en-GB"/>
        </w:rPr>
        <w:t>56 needle biopsies of metastatic lesions were reviewed</w:t>
      </w:r>
      <w:r>
        <w:rPr>
          <w:rFonts w:ascii="Arial" w:eastAsia="Calibri" w:hAnsi="Arial" w:cs="Arial"/>
          <w:color w:val="000000" w:themeColor="text1"/>
          <w:kern w:val="24"/>
          <w:lang w:val="en-GB"/>
        </w:rPr>
        <w:t xml:space="preserve">. </w:t>
      </w:r>
      <w:r w:rsidRPr="00BB3CBB">
        <w:rPr>
          <w:rFonts w:ascii="Arial" w:eastAsia="SimHei" w:hAnsi="Arial" w:cs="Arial"/>
          <w:color w:val="000000" w:themeColor="text1"/>
          <w:kern w:val="24"/>
          <w:lang w:val="en-US"/>
        </w:rPr>
        <w:t>Results from molecular studies for EGFR, KRAS, BRAF, N-RAS, and ROS-1 genetic mutations and ALK</w:t>
      </w:r>
      <w:r>
        <w:rPr>
          <w:rFonts w:ascii="Arial" w:eastAsia="SimHei" w:hAnsi="Arial" w:cs="Arial"/>
          <w:color w:val="000000" w:themeColor="text1"/>
          <w:kern w:val="24"/>
          <w:lang w:val="en-US"/>
        </w:rPr>
        <w:t>-</w:t>
      </w:r>
      <w:r w:rsidRPr="00BB3CBB">
        <w:rPr>
          <w:rFonts w:ascii="Arial" w:eastAsia="SimHei" w:hAnsi="Arial" w:cs="Arial"/>
          <w:color w:val="000000" w:themeColor="text1"/>
          <w:kern w:val="24"/>
          <w:lang w:val="en-US"/>
        </w:rPr>
        <w:t xml:space="preserve">rearrangements were compared with degree of inflammatory response surrounding metastatic </w:t>
      </w:r>
      <w:proofErr w:type="spellStart"/>
      <w:r w:rsidRPr="00BB3CBB">
        <w:rPr>
          <w:rFonts w:ascii="Arial" w:eastAsia="SimHei" w:hAnsi="Arial" w:cs="Arial"/>
          <w:color w:val="000000" w:themeColor="text1"/>
          <w:kern w:val="24"/>
          <w:lang w:val="en-US"/>
        </w:rPr>
        <w:t>tumour</w:t>
      </w:r>
      <w:proofErr w:type="spellEnd"/>
      <w:r>
        <w:rPr>
          <w:rFonts w:ascii="Arial" w:eastAsia="SimHei" w:hAnsi="Arial" w:cs="Arial"/>
          <w:color w:val="000000" w:themeColor="text1"/>
          <w:kern w:val="24"/>
          <w:lang w:val="en-US"/>
        </w:rPr>
        <w:t xml:space="preserve">. </w:t>
      </w:r>
      <w:r w:rsidRPr="00BB3CBB">
        <w:rPr>
          <w:rFonts w:ascii="Arial" w:eastAsia="SimHei" w:hAnsi="Arial" w:cs="Arial"/>
          <w:color w:val="000000" w:themeColor="text1"/>
          <w:kern w:val="24"/>
          <w:lang w:val="en-US"/>
        </w:rPr>
        <w:t xml:space="preserve">Inflammation grading was performed by light microscopic review of H&amp;E slides as having either ‘brisk’ or ‘weak’ inflammatory response. </w:t>
      </w:r>
      <w:r w:rsidR="00166C5E">
        <w:rPr>
          <w:rFonts w:ascii="Arial" w:eastAsia="SimHei" w:hAnsi="Arial" w:cs="Arial"/>
          <w:color w:val="000000" w:themeColor="text1"/>
          <w:kern w:val="24"/>
          <w:lang w:val="en-US"/>
        </w:rPr>
        <w:t>G</w:t>
      </w:r>
      <w:r w:rsidRPr="00BB3CBB">
        <w:rPr>
          <w:rFonts w:ascii="Arial" w:eastAsia="SimHei" w:hAnsi="Arial" w:cs="Arial"/>
          <w:color w:val="000000" w:themeColor="text1"/>
          <w:kern w:val="24"/>
          <w:lang w:val="en-US"/>
        </w:rPr>
        <w:t>ene mutation analysis was performed at molecular laboratory, Royal College of Surgeons in Ireland</w:t>
      </w:r>
      <w:r>
        <w:rPr>
          <w:rFonts w:ascii="Arial" w:eastAsia="SimHei" w:hAnsi="Arial" w:cs="Arial"/>
          <w:color w:val="000000" w:themeColor="text1"/>
          <w:kern w:val="24"/>
          <w:lang w:val="en-US"/>
        </w:rPr>
        <w:t>.</w:t>
      </w:r>
    </w:p>
    <w:p w14:paraId="3741323F" w14:textId="64A33B56" w:rsidR="00A31461" w:rsidRPr="00A31461" w:rsidRDefault="00A31461" w:rsidP="00BB3CBB">
      <w:pPr>
        <w:spacing w:line="360" w:lineRule="auto"/>
        <w:textAlignment w:val="baseline"/>
        <w:rPr>
          <w:rFonts w:ascii="Arial" w:eastAsia="Calibri" w:hAnsi="Arial" w:cs="Arial"/>
          <w:b/>
          <w:bCs/>
          <w:color w:val="000000" w:themeColor="text1"/>
          <w:kern w:val="24"/>
          <w:lang w:val="en-GB"/>
        </w:rPr>
      </w:pPr>
      <w:r w:rsidRPr="00A31461">
        <w:rPr>
          <w:rFonts w:ascii="Arial" w:eastAsia="Calibri" w:hAnsi="Arial" w:cs="Arial"/>
          <w:b/>
          <w:bCs/>
          <w:color w:val="000000" w:themeColor="text1"/>
          <w:kern w:val="24"/>
          <w:lang w:val="en-GB"/>
        </w:rPr>
        <w:t>Results</w:t>
      </w:r>
    </w:p>
    <w:p w14:paraId="5955E399" w14:textId="70C7ACE8" w:rsidR="00BB3CBB" w:rsidRPr="00BB3CBB" w:rsidRDefault="00BB3CBB" w:rsidP="00BB3CBB">
      <w:pPr>
        <w:spacing w:line="360" w:lineRule="auto"/>
        <w:textAlignment w:val="baseline"/>
      </w:pPr>
      <w:r w:rsidRPr="00BB3CBB">
        <w:rPr>
          <w:rFonts w:ascii="Arial" w:eastAsia="Calibri" w:hAnsi="Arial" w:cs="Arial"/>
          <w:color w:val="000000" w:themeColor="text1"/>
          <w:kern w:val="24"/>
          <w:lang w:val="en-GB"/>
        </w:rPr>
        <w:t>Of these metastatic tumours, all were adenocarcinomas from primary sites including 22 colorectal, 12 pancreatic, 7 lung, 7 breast, 4 upper gastro-intestinal, 3 gallbladder, and 1 prostate</w:t>
      </w:r>
      <w:r>
        <w:rPr>
          <w:rFonts w:ascii="Arial" w:eastAsia="Calibri" w:hAnsi="Arial" w:cs="Arial"/>
          <w:color w:val="000000" w:themeColor="text1"/>
          <w:kern w:val="24"/>
          <w:lang w:val="en-GB"/>
        </w:rPr>
        <w:t xml:space="preserve">. </w:t>
      </w:r>
      <w:r w:rsidRPr="00BB3CBB">
        <w:rPr>
          <w:rFonts w:ascii="Arial" w:eastAsiaTheme="minorEastAsia" w:hAnsi="Arial" w:cs="Arial"/>
          <w:color w:val="000000" w:themeColor="text1"/>
          <w:kern w:val="24"/>
          <w:lang w:val="en-US"/>
        </w:rPr>
        <w:t xml:space="preserve">When reported, tumors were </w:t>
      </w:r>
      <w:proofErr w:type="gramStart"/>
      <w:r w:rsidRPr="00BB3CBB">
        <w:rPr>
          <w:rFonts w:ascii="Arial" w:eastAsiaTheme="minorEastAsia" w:hAnsi="Arial" w:cs="Arial"/>
          <w:color w:val="000000" w:themeColor="text1"/>
          <w:kern w:val="24"/>
          <w:lang w:val="en-US"/>
        </w:rPr>
        <w:t>poorly(</w:t>
      </w:r>
      <w:proofErr w:type="gramEnd"/>
      <w:r w:rsidRPr="00BB3CBB">
        <w:rPr>
          <w:rFonts w:ascii="Arial" w:eastAsiaTheme="minorEastAsia" w:hAnsi="Arial" w:cs="Arial"/>
          <w:color w:val="000000" w:themeColor="text1"/>
          <w:kern w:val="24"/>
          <w:lang w:val="en-US"/>
        </w:rPr>
        <w:t>15), moderately(29) and well(1) differentiated</w:t>
      </w:r>
      <w:r>
        <w:rPr>
          <w:rFonts w:ascii="Arial" w:eastAsiaTheme="minorEastAsia" w:hAnsi="Arial" w:cs="Arial"/>
          <w:color w:val="000000" w:themeColor="text1"/>
          <w:kern w:val="24"/>
          <w:lang w:val="en-US"/>
        </w:rPr>
        <w:t xml:space="preserve">. </w:t>
      </w:r>
      <w:r w:rsidRPr="00BB3CBB">
        <w:rPr>
          <w:rFonts w:ascii="Arial" w:eastAsiaTheme="minorEastAsia" w:hAnsi="Arial" w:cs="Arial"/>
          <w:color w:val="000000" w:themeColor="text1"/>
          <w:kern w:val="24"/>
          <w:lang w:val="en-US"/>
        </w:rPr>
        <w:t xml:space="preserve">Of 24 cases tested ,13 </w:t>
      </w:r>
      <w:proofErr w:type="spellStart"/>
      <w:r w:rsidRPr="00BB3CBB">
        <w:rPr>
          <w:rFonts w:ascii="Arial" w:eastAsiaTheme="minorEastAsia" w:hAnsi="Arial" w:cs="Arial"/>
          <w:color w:val="000000" w:themeColor="text1"/>
          <w:kern w:val="24"/>
          <w:lang w:val="en-US"/>
        </w:rPr>
        <w:t>tumours</w:t>
      </w:r>
      <w:proofErr w:type="spellEnd"/>
      <w:r w:rsidRPr="00BB3CBB">
        <w:rPr>
          <w:rFonts w:ascii="Arial" w:eastAsiaTheme="minorEastAsia" w:hAnsi="Arial" w:cs="Arial"/>
          <w:color w:val="000000" w:themeColor="text1"/>
          <w:kern w:val="24"/>
          <w:lang w:val="en-US"/>
        </w:rPr>
        <w:t xml:space="preserve"> had genetic mutations identified including EGFR, KRAS, N-RAS, and BRAF</w:t>
      </w:r>
      <w:r>
        <w:rPr>
          <w:rFonts w:ascii="Arial" w:eastAsiaTheme="minorEastAsia" w:hAnsi="Arial" w:cs="Arial"/>
          <w:color w:val="000000" w:themeColor="text1"/>
          <w:kern w:val="24"/>
          <w:lang w:val="en-US"/>
        </w:rPr>
        <w:t xml:space="preserve">. </w:t>
      </w:r>
      <w:r w:rsidRPr="00BB3CBB">
        <w:rPr>
          <w:rFonts w:ascii="Arial" w:eastAsiaTheme="minorEastAsia" w:hAnsi="Arial" w:cs="Arial"/>
          <w:color w:val="000000" w:themeColor="text1"/>
          <w:kern w:val="24"/>
          <w:lang w:val="en-US"/>
        </w:rPr>
        <w:t xml:space="preserve">Twice as many </w:t>
      </w:r>
      <w:proofErr w:type="spellStart"/>
      <w:r w:rsidRPr="00BB3CBB">
        <w:rPr>
          <w:rFonts w:ascii="Arial" w:eastAsiaTheme="minorEastAsia" w:hAnsi="Arial" w:cs="Arial"/>
          <w:color w:val="000000" w:themeColor="text1"/>
          <w:kern w:val="24"/>
          <w:lang w:val="en-US"/>
        </w:rPr>
        <w:t>tumours</w:t>
      </w:r>
      <w:proofErr w:type="spellEnd"/>
      <w:r w:rsidRPr="00BB3CBB">
        <w:rPr>
          <w:rFonts w:ascii="Arial" w:eastAsiaTheme="minorEastAsia" w:hAnsi="Arial" w:cs="Arial"/>
          <w:color w:val="000000" w:themeColor="text1"/>
          <w:kern w:val="24"/>
          <w:lang w:val="en-US"/>
        </w:rPr>
        <w:t xml:space="preserve"> </w:t>
      </w:r>
      <w:r w:rsidRPr="00BB3CBB">
        <w:rPr>
          <w:rFonts w:ascii="Arial" w:eastAsiaTheme="minorEastAsia" w:hAnsi="Arial" w:cs="Arial"/>
          <w:b/>
          <w:bCs/>
          <w:i/>
          <w:iCs/>
          <w:color w:val="000000" w:themeColor="text1"/>
          <w:kern w:val="24"/>
          <w:lang w:val="en-US"/>
        </w:rPr>
        <w:t xml:space="preserve">without </w:t>
      </w:r>
      <w:r w:rsidRPr="00BB3CBB">
        <w:rPr>
          <w:rFonts w:ascii="Arial" w:eastAsiaTheme="minorEastAsia" w:hAnsi="Arial" w:cs="Arial"/>
          <w:color w:val="000000" w:themeColor="text1"/>
          <w:kern w:val="24"/>
          <w:lang w:val="en-US"/>
        </w:rPr>
        <w:t xml:space="preserve">genetic </w:t>
      </w:r>
      <w:proofErr w:type="gramStart"/>
      <w:r w:rsidRPr="00BB3CBB">
        <w:rPr>
          <w:rFonts w:ascii="Arial" w:eastAsiaTheme="minorEastAsia" w:hAnsi="Arial" w:cs="Arial"/>
          <w:color w:val="000000" w:themeColor="text1"/>
          <w:kern w:val="24"/>
          <w:lang w:val="en-US"/>
        </w:rPr>
        <w:t>mutations(</w:t>
      </w:r>
      <w:proofErr w:type="gramEnd"/>
      <w:r w:rsidRPr="00BB3CBB">
        <w:rPr>
          <w:rFonts w:ascii="Arial" w:eastAsiaTheme="minorEastAsia" w:hAnsi="Arial" w:cs="Arial"/>
          <w:color w:val="000000" w:themeColor="text1"/>
          <w:kern w:val="24"/>
          <w:lang w:val="en-US"/>
        </w:rPr>
        <w:t xml:space="preserve">6) had brisk inflammatory response compared to </w:t>
      </w:r>
      <w:proofErr w:type="spellStart"/>
      <w:r w:rsidRPr="00BB3CBB">
        <w:rPr>
          <w:rFonts w:ascii="Arial" w:eastAsiaTheme="minorEastAsia" w:hAnsi="Arial" w:cs="Arial"/>
          <w:color w:val="000000" w:themeColor="text1"/>
          <w:kern w:val="24"/>
          <w:lang w:val="en-US"/>
        </w:rPr>
        <w:t>tumours</w:t>
      </w:r>
      <w:proofErr w:type="spellEnd"/>
      <w:r w:rsidRPr="00BB3CBB">
        <w:rPr>
          <w:rFonts w:ascii="Arial" w:eastAsiaTheme="minorEastAsia" w:hAnsi="Arial" w:cs="Arial"/>
          <w:color w:val="000000" w:themeColor="text1"/>
          <w:kern w:val="24"/>
          <w:lang w:val="en-US"/>
        </w:rPr>
        <w:t xml:space="preserve"> with genetic mutations(3). Similarly, twice as many </w:t>
      </w:r>
      <w:proofErr w:type="spellStart"/>
      <w:r w:rsidRPr="00BB3CBB">
        <w:rPr>
          <w:rFonts w:ascii="Arial" w:eastAsiaTheme="minorEastAsia" w:hAnsi="Arial" w:cs="Arial"/>
          <w:color w:val="000000" w:themeColor="text1"/>
          <w:kern w:val="24"/>
          <w:lang w:val="en-US"/>
        </w:rPr>
        <w:t>tumours</w:t>
      </w:r>
      <w:proofErr w:type="spellEnd"/>
      <w:r w:rsidRPr="00BB3CBB">
        <w:rPr>
          <w:rFonts w:ascii="Arial" w:eastAsiaTheme="minorEastAsia" w:hAnsi="Arial" w:cs="Arial"/>
          <w:color w:val="000000" w:themeColor="text1"/>
          <w:kern w:val="24"/>
          <w:lang w:val="en-US"/>
        </w:rPr>
        <w:t xml:space="preserve"> </w:t>
      </w:r>
      <w:r w:rsidRPr="00BB3CBB">
        <w:rPr>
          <w:rFonts w:ascii="Arial" w:eastAsiaTheme="minorEastAsia" w:hAnsi="Arial" w:cs="Arial"/>
          <w:b/>
          <w:bCs/>
          <w:i/>
          <w:iCs/>
          <w:color w:val="000000" w:themeColor="text1"/>
          <w:kern w:val="24"/>
          <w:lang w:val="en-US"/>
        </w:rPr>
        <w:t xml:space="preserve">with </w:t>
      </w:r>
      <w:r w:rsidRPr="00BB3CBB">
        <w:rPr>
          <w:rFonts w:ascii="Arial" w:eastAsiaTheme="minorEastAsia" w:hAnsi="Arial" w:cs="Arial"/>
          <w:color w:val="000000" w:themeColor="text1"/>
          <w:kern w:val="24"/>
          <w:lang w:val="en-US"/>
        </w:rPr>
        <w:t xml:space="preserve">genetic </w:t>
      </w:r>
      <w:proofErr w:type="gramStart"/>
      <w:r w:rsidRPr="00BB3CBB">
        <w:rPr>
          <w:rFonts w:ascii="Arial" w:eastAsiaTheme="minorEastAsia" w:hAnsi="Arial" w:cs="Arial"/>
          <w:color w:val="000000" w:themeColor="text1"/>
          <w:kern w:val="24"/>
          <w:lang w:val="en-US"/>
        </w:rPr>
        <w:t>mutations(</w:t>
      </w:r>
      <w:proofErr w:type="gramEnd"/>
      <w:r w:rsidRPr="00BB3CBB">
        <w:rPr>
          <w:rFonts w:ascii="Arial" w:eastAsiaTheme="minorEastAsia" w:hAnsi="Arial" w:cs="Arial"/>
          <w:color w:val="000000" w:themeColor="text1"/>
          <w:kern w:val="24"/>
          <w:lang w:val="en-US"/>
        </w:rPr>
        <w:t xml:space="preserve">10) had a weak inflammatory response compared to </w:t>
      </w:r>
      <w:proofErr w:type="spellStart"/>
      <w:r w:rsidRPr="00BB3CBB">
        <w:rPr>
          <w:rFonts w:ascii="Arial" w:eastAsiaTheme="minorEastAsia" w:hAnsi="Arial" w:cs="Arial"/>
          <w:color w:val="000000" w:themeColor="text1"/>
          <w:kern w:val="24"/>
          <w:lang w:val="en-US"/>
        </w:rPr>
        <w:t>tumours</w:t>
      </w:r>
      <w:proofErr w:type="spellEnd"/>
      <w:r w:rsidRPr="00BB3CBB">
        <w:rPr>
          <w:rFonts w:ascii="Arial" w:eastAsiaTheme="minorEastAsia" w:hAnsi="Arial" w:cs="Arial"/>
          <w:color w:val="000000" w:themeColor="text1"/>
          <w:kern w:val="24"/>
          <w:lang w:val="en-US"/>
        </w:rPr>
        <w:t xml:space="preserve"> without mutations(5)</w:t>
      </w:r>
      <w:r>
        <w:rPr>
          <w:rFonts w:ascii="Arial" w:eastAsiaTheme="minorEastAsia" w:hAnsi="Arial" w:cs="Arial"/>
          <w:color w:val="000000" w:themeColor="text1"/>
          <w:kern w:val="24"/>
          <w:lang w:val="en-US"/>
        </w:rPr>
        <w:t>.</w:t>
      </w:r>
    </w:p>
    <w:p w14:paraId="517AAFF0" w14:textId="09E833A3" w:rsidR="00A31461" w:rsidRPr="00A31461" w:rsidRDefault="00A31461" w:rsidP="00BB3CBB">
      <w:pPr>
        <w:kinsoku w:val="0"/>
        <w:overflowPunct w:val="0"/>
        <w:spacing w:line="360" w:lineRule="auto"/>
        <w:textAlignment w:val="baseline"/>
        <w:rPr>
          <w:rFonts w:ascii="Arial" w:eastAsiaTheme="minorEastAsia" w:hAnsi="Arial" w:cs="Arial"/>
          <w:b/>
          <w:bCs/>
          <w:color w:val="000000" w:themeColor="text1"/>
          <w:kern w:val="24"/>
        </w:rPr>
      </w:pPr>
      <w:r w:rsidRPr="00A31461">
        <w:rPr>
          <w:rFonts w:ascii="Arial" w:eastAsiaTheme="minorEastAsia" w:hAnsi="Arial" w:cs="Arial"/>
          <w:b/>
          <w:bCs/>
          <w:color w:val="000000" w:themeColor="text1"/>
          <w:kern w:val="24"/>
        </w:rPr>
        <w:t>Conclusion</w:t>
      </w:r>
    </w:p>
    <w:p w14:paraId="6ADFED30" w14:textId="79B569CD" w:rsidR="00BB3CBB" w:rsidRDefault="00BB3CBB" w:rsidP="00BB3CBB">
      <w:pPr>
        <w:kinsoku w:val="0"/>
        <w:overflowPunct w:val="0"/>
        <w:spacing w:line="360" w:lineRule="auto"/>
        <w:textAlignment w:val="baseline"/>
        <w:rPr>
          <w:rFonts w:ascii="Arial" w:eastAsia="Calibri" w:hAnsi="Arial" w:cs="Arial"/>
          <w:color w:val="000000" w:themeColor="text1"/>
          <w:kern w:val="24"/>
          <w:lang w:val="en-GB"/>
        </w:rPr>
      </w:pPr>
      <w:r w:rsidRPr="00BB3CBB">
        <w:rPr>
          <w:rFonts w:ascii="Arial" w:eastAsiaTheme="minorEastAsia" w:hAnsi="Arial" w:cs="Arial"/>
          <w:color w:val="000000" w:themeColor="text1"/>
          <w:kern w:val="24"/>
        </w:rPr>
        <w:t xml:space="preserve">For some patients, cancer treatment options are limited depending on genetic mutation status. Approaches that bolster tumour-reactive inflammatory response may limit tumour progression and </w:t>
      </w:r>
      <w:r w:rsidRPr="00BB3CBB">
        <w:rPr>
          <w:rFonts w:ascii="Arial" w:eastAsia="SimSun" w:hAnsi="Arial" w:cs="Arial"/>
          <w:color w:val="000000" w:themeColor="text1"/>
          <w:kern w:val="24"/>
          <w:lang w:val="en-GB"/>
        </w:rPr>
        <w:t>improve treatment response with drugs such as pembrolizumab</w:t>
      </w:r>
      <w:r>
        <w:rPr>
          <w:rFonts w:ascii="Arial" w:eastAsia="SimSun" w:hAnsi="Arial" w:cs="Arial"/>
          <w:color w:val="000000" w:themeColor="text1"/>
          <w:kern w:val="24"/>
          <w:lang w:val="en-GB"/>
        </w:rPr>
        <w:t xml:space="preserve">. </w:t>
      </w:r>
      <w:r w:rsidRPr="00BB3CBB">
        <w:rPr>
          <w:rFonts w:ascii="Arial" w:eastAsia="Calibri" w:hAnsi="Arial" w:cs="Arial"/>
          <w:color w:val="000000" w:themeColor="text1"/>
          <w:kern w:val="24"/>
          <w:lang w:val="en-GB"/>
        </w:rPr>
        <w:t>Although larger samples are needed, following our findings of an association between genetic mutation status and inflammatory response, we propose further exploration into the utility of immunotherapies, particularly in patients with tumours lacking genetic therapeutic targets</w:t>
      </w:r>
      <w:r>
        <w:rPr>
          <w:rFonts w:ascii="Arial" w:eastAsia="Calibri" w:hAnsi="Arial" w:cs="Arial"/>
          <w:color w:val="000000" w:themeColor="text1"/>
          <w:kern w:val="24"/>
          <w:lang w:val="en-GB"/>
        </w:rPr>
        <w:t>.</w:t>
      </w:r>
    </w:p>
    <w:p w14:paraId="68495AF2" w14:textId="747BF830" w:rsidR="00BB3CBB" w:rsidRPr="00A31461" w:rsidRDefault="00A31461" w:rsidP="00A31461">
      <w:pPr>
        <w:kinsoku w:val="0"/>
        <w:overflowPunct w:val="0"/>
        <w:spacing w:line="288" w:lineRule="auto"/>
        <w:textAlignment w:val="baseline"/>
        <w:rPr>
          <w:rFonts w:ascii="Arial" w:eastAsia="Calibri" w:hAnsi="Arial" w:cs="Arial"/>
          <w:b/>
          <w:bCs/>
          <w:color w:val="000000" w:themeColor="text1"/>
          <w:kern w:val="24"/>
          <w:lang w:val="en-GB"/>
        </w:rPr>
      </w:pPr>
      <w:r w:rsidRPr="00A31461">
        <w:rPr>
          <w:rFonts w:ascii="Arial" w:eastAsia="Calibri" w:hAnsi="Arial" w:cs="Arial"/>
          <w:b/>
          <w:bCs/>
          <w:color w:val="000000" w:themeColor="text1"/>
          <w:kern w:val="24"/>
          <w:lang w:val="en-GB"/>
        </w:rPr>
        <w:t>References</w:t>
      </w:r>
    </w:p>
    <w:p w14:paraId="4577ED1F" w14:textId="77777777" w:rsidR="00BB3CBB" w:rsidRPr="00BB3CBB" w:rsidRDefault="00BB3CBB" w:rsidP="00BB3CBB">
      <w:pPr>
        <w:pStyle w:val="NormalWeb"/>
        <w:kinsoku w:val="0"/>
        <w:overflowPunct w:val="0"/>
        <w:spacing w:before="0" w:beforeAutospacing="0" w:after="0" w:afterAutospacing="0"/>
        <w:textAlignment w:val="baseline"/>
        <w:rPr>
          <w:rFonts w:ascii="Arial" w:hAnsi="Arial" w:cs="Arial"/>
          <w:sz w:val="22"/>
          <w:szCs w:val="22"/>
        </w:rPr>
      </w:pPr>
      <w:r w:rsidRPr="00BB3CBB">
        <w:rPr>
          <w:rFonts w:ascii="Arial" w:eastAsia="Calibri" w:hAnsi="Arial" w:cs="Arial"/>
          <w:color w:val="000000" w:themeColor="text1"/>
          <w:kern w:val="24"/>
          <w:sz w:val="22"/>
          <w:szCs w:val="22"/>
          <w:lang w:val="en-GB"/>
        </w:rPr>
        <w:lastRenderedPageBreak/>
        <w:t>Kumar V, Abbas A, Aster J (Eds) Robbins Basic Pathology, 10</w:t>
      </w:r>
      <w:proofErr w:type="spellStart"/>
      <w:r w:rsidRPr="00BB3CBB">
        <w:rPr>
          <w:rFonts w:ascii="Arial" w:eastAsia="Calibri" w:hAnsi="Arial" w:cs="Arial"/>
          <w:color w:val="000000" w:themeColor="text1"/>
          <w:kern w:val="24"/>
          <w:position w:val="22"/>
          <w:sz w:val="22"/>
          <w:szCs w:val="22"/>
          <w:vertAlign w:val="superscript"/>
          <w:lang w:val="en-GB"/>
        </w:rPr>
        <w:t>th</w:t>
      </w:r>
      <w:proofErr w:type="spellEnd"/>
      <w:r w:rsidRPr="00BB3CBB">
        <w:rPr>
          <w:rFonts w:ascii="Arial" w:eastAsia="Calibri" w:hAnsi="Arial" w:cs="Arial"/>
          <w:color w:val="000000" w:themeColor="text1"/>
          <w:kern w:val="24"/>
          <w:sz w:val="22"/>
          <w:szCs w:val="22"/>
          <w:lang w:val="en-GB"/>
        </w:rPr>
        <w:t xml:space="preserve"> edition, 2010.</w:t>
      </w:r>
    </w:p>
    <w:p w14:paraId="4CD15893" w14:textId="77777777" w:rsidR="00BB4966" w:rsidRPr="00166C5E" w:rsidRDefault="00BB4966" w:rsidP="00BB3CBB">
      <w:pPr>
        <w:pStyle w:val="NormalWeb"/>
        <w:kinsoku w:val="0"/>
        <w:overflowPunct w:val="0"/>
        <w:spacing w:before="0" w:beforeAutospacing="0" w:after="0" w:afterAutospacing="0"/>
        <w:textAlignment w:val="baseline"/>
        <w:rPr>
          <w:rFonts w:ascii="Arial" w:eastAsia="Calibri" w:hAnsi="Arial" w:cs="Arial"/>
          <w:color w:val="000000" w:themeColor="text1"/>
          <w:kern w:val="24"/>
          <w:sz w:val="22"/>
          <w:szCs w:val="22"/>
        </w:rPr>
      </w:pPr>
    </w:p>
    <w:p w14:paraId="24D0A152" w14:textId="3FA8E120" w:rsidR="00BB3CBB" w:rsidRPr="00BB3CBB" w:rsidRDefault="00BB3CBB" w:rsidP="00BB3CBB">
      <w:pPr>
        <w:pStyle w:val="NormalWeb"/>
        <w:kinsoku w:val="0"/>
        <w:overflowPunct w:val="0"/>
        <w:spacing w:before="0" w:beforeAutospacing="0" w:after="0" w:afterAutospacing="0"/>
        <w:textAlignment w:val="baseline"/>
        <w:rPr>
          <w:rFonts w:ascii="Arial" w:hAnsi="Arial" w:cs="Arial"/>
          <w:sz w:val="22"/>
          <w:szCs w:val="22"/>
        </w:rPr>
      </w:pPr>
      <w:proofErr w:type="spellStart"/>
      <w:r w:rsidRPr="00BB3CBB">
        <w:rPr>
          <w:rFonts w:ascii="Arial" w:eastAsia="Calibri" w:hAnsi="Arial" w:cs="Arial"/>
          <w:color w:val="000000" w:themeColor="text1"/>
          <w:kern w:val="24"/>
          <w:sz w:val="22"/>
          <w:szCs w:val="22"/>
          <w:lang w:val="sv-SE"/>
        </w:rPr>
        <w:t>Santoiemma</w:t>
      </w:r>
      <w:proofErr w:type="spellEnd"/>
      <w:r w:rsidRPr="00BB3CBB">
        <w:rPr>
          <w:rFonts w:ascii="Arial" w:eastAsia="Calibri" w:hAnsi="Arial" w:cs="Arial"/>
          <w:color w:val="000000" w:themeColor="text1"/>
          <w:kern w:val="24"/>
          <w:sz w:val="22"/>
          <w:szCs w:val="22"/>
          <w:lang w:val="sv-SE"/>
        </w:rPr>
        <w:t xml:space="preserve"> PP, Powell DJ Jr. </w:t>
      </w:r>
      <w:proofErr w:type="spellStart"/>
      <w:r w:rsidRPr="00BB3CBB">
        <w:rPr>
          <w:rFonts w:ascii="Arial" w:eastAsia="Calibri" w:hAnsi="Arial" w:cs="Arial"/>
          <w:color w:val="000000" w:themeColor="text1"/>
          <w:kern w:val="24"/>
          <w:sz w:val="22"/>
          <w:szCs w:val="22"/>
        </w:rPr>
        <w:t>Tumor</w:t>
      </w:r>
      <w:proofErr w:type="spellEnd"/>
      <w:r w:rsidRPr="00BB3CBB">
        <w:rPr>
          <w:rFonts w:ascii="Arial" w:eastAsia="Calibri" w:hAnsi="Arial" w:cs="Arial"/>
          <w:color w:val="000000" w:themeColor="text1"/>
          <w:kern w:val="24"/>
          <w:sz w:val="22"/>
          <w:szCs w:val="22"/>
        </w:rPr>
        <w:t xml:space="preserve"> infiltrating lymphocytes in ovarian cancer. Cancer </w:t>
      </w:r>
      <w:proofErr w:type="spellStart"/>
      <w:r w:rsidRPr="00BB3CBB">
        <w:rPr>
          <w:rFonts w:ascii="Arial" w:eastAsia="Calibri" w:hAnsi="Arial" w:cs="Arial"/>
          <w:color w:val="000000" w:themeColor="text1"/>
          <w:kern w:val="24"/>
          <w:sz w:val="22"/>
          <w:szCs w:val="22"/>
        </w:rPr>
        <w:t>Biol</w:t>
      </w:r>
      <w:proofErr w:type="spellEnd"/>
      <w:r w:rsidRPr="00BB3CBB">
        <w:rPr>
          <w:rFonts w:ascii="Arial" w:eastAsia="Calibri" w:hAnsi="Arial" w:cs="Arial"/>
          <w:color w:val="000000" w:themeColor="text1"/>
          <w:kern w:val="24"/>
          <w:sz w:val="22"/>
          <w:szCs w:val="22"/>
        </w:rPr>
        <w:t xml:space="preserve"> Ther. 2015;16(6):807-20.</w:t>
      </w:r>
      <w:r w:rsidRPr="00BB3CBB">
        <w:rPr>
          <w:rFonts w:ascii="Arial" w:eastAsia="Calibri" w:hAnsi="Arial" w:cs="Arial"/>
          <w:color w:val="000000" w:themeColor="text1"/>
          <w:kern w:val="24"/>
          <w:sz w:val="22"/>
          <w:szCs w:val="22"/>
          <w:lang w:val="en-GB"/>
        </w:rPr>
        <w:t xml:space="preserve"> </w:t>
      </w:r>
    </w:p>
    <w:p w14:paraId="29671DBE" w14:textId="77777777" w:rsidR="00BB4966" w:rsidRDefault="00BB4966" w:rsidP="00A31461">
      <w:pPr>
        <w:pStyle w:val="NormalWeb"/>
        <w:kinsoku w:val="0"/>
        <w:overflowPunct w:val="0"/>
        <w:spacing w:before="0" w:beforeAutospacing="0" w:after="0" w:afterAutospacing="0"/>
        <w:textAlignment w:val="baseline"/>
        <w:rPr>
          <w:rFonts w:ascii="Arial" w:eastAsia="Calibri" w:hAnsi="Arial" w:cs="Arial"/>
          <w:color w:val="000000" w:themeColor="text1"/>
          <w:kern w:val="24"/>
          <w:sz w:val="22"/>
          <w:szCs w:val="22"/>
        </w:rPr>
      </w:pPr>
    </w:p>
    <w:p w14:paraId="752A5802" w14:textId="163FD1FA" w:rsidR="00BB3CBB" w:rsidRDefault="00BB3CBB" w:rsidP="00A31461">
      <w:pPr>
        <w:pStyle w:val="NormalWeb"/>
        <w:kinsoku w:val="0"/>
        <w:overflowPunct w:val="0"/>
        <w:spacing w:before="0" w:beforeAutospacing="0" w:after="0" w:afterAutospacing="0"/>
        <w:textAlignment w:val="baseline"/>
      </w:pPr>
      <w:r w:rsidRPr="00BB3CBB">
        <w:rPr>
          <w:rFonts w:ascii="Arial" w:eastAsia="Calibri" w:hAnsi="Arial" w:cs="Arial"/>
          <w:color w:val="000000" w:themeColor="text1"/>
          <w:kern w:val="24"/>
          <w:sz w:val="22"/>
          <w:szCs w:val="22"/>
        </w:rPr>
        <w:t xml:space="preserve">Kwok G, Yau TC, Chiu JW, </w:t>
      </w:r>
      <w:proofErr w:type="spellStart"/>
      <w:r w:rsidRPr="00BB3CBB">
        <w:rPr>
          <w:rFonts w:ascii="Arial" w:eastAsia="Calibri" w:hAnsi="Arial" w:cs="Arial"/>
          <w:color w:val="000000" w:themeColor="text1"/>
          <w:kern w:val="24"/>
          <w:sz w:val="22"/>
          <w:szCs w:val="22"/>
        </w:rPr>
        <w:t>Tse</w:t>
      </w:r>
      <w:proofErr w:type="spellEnd"/>
      <w:r w:rsidRPr="00BB3CBB">
        <w:rPr>
          <w:rFonts w:ascii="Arial" w:eastAsia="Calibri" w:hAnsi="Arial" w:cs="Arial"/>
          <w:color w:val="000000" w:themeColor="text1"/>
          <w:kern w:val="24"/>
          <w:sz w:val="22"/>
          <w:szCs w:val="22"/>
        </w:rPr>
        <w:t xml:space="preserve"> E, Kwong YL. Pembrolizumab (Keytruda). Hum </w:t>
      </w:r>
      <w:proofErr w:type="spellStart"/>
      <w:r w:rsidRPr="00BB3CBB">
        <w:rPr>
          <w:rFonts w:ascii="Arial" w:eastAsia="Calibri" w:hAnsi="Arial" w:cs="Arial"/>
          <w:color w:val="000000" w:themeColor="text1"/>
          <w:kern w:val="24"/>
          <w:sz w:val="22"/>
          <w:szCs w:val="22"/>
        </w:rPr>
        <w:t>Vaccin</w:t>
      </w:r>
      <w:proofErr w:type="spellEnd"/>
      <w:r w:rsidRPr="00BB3CBB">
        <w:rPr>
          <w:rFonts w:ascii="Arial" w:eastAsia="Calibri" w:hAnsi="Arial" w:cs="Arial"/>
          <w:color w:val="000000" w:themeColor="text1"/>
          <w:kern w:val="24"/>
          <w:sz w:val="22"/>
          <w:szCs w:val="22"/>
        </w:rPr>
        <w:t xml:space="preserve"> </w:t>
      </w:r>
      <w:proofErr w:type="spellStart"/>
      <w:r w:rsidRPr="00BB3CBB">
        <w:rPr>
          <w:rFonts w:ascii="Arial" w:eastAsia="Calibri" w:hAnsi="Arial" w:cs="Arial"/>
          <w:color w:val="000000" w:themeColor="text1"/>
          <w:kern w:val="24"/>
          <w:sz w:val="22"/>
          <w:szCs w:val="22"/>
        </w:rPr>
        <w:t>Immunother</w:t>
      </w:r>
      <w:proofErr w:type="spellEnd"/>
      <w:r w:rsidRPr="00BB3CBB">
        <w:rPr>
          <w:rFonts w:ascii="Arial" w:eastAsia="Calibri" w:hAnsi="Arial" w:cs="Arial"/>
          <w:color w:val="000000" w:themeColor="text1"/>
          <w:kern w:val="24"/>
          <w:sz w:val="22"/>
          <w:szCs w:val="22"/>
        </w:rPr>
        <w:t>. 2016 Nov;12(11):2777-2789</w:t>
      </w:r>
      <w:r w:rsidRPr="00BB3CBB">
        <w:rPr>
          <w:rFonts w:ascii="Arial" w:eastAsia="Calibri" w:hAnsi="Arial" w:cs="Arial"/>
          <w:color w:val="212121"/>
          <w:kern w:val="24"/>
          <w:sz w:val="22"/>
          <w:szCs w:val="22"/>
        </w:rPr>
        <w:t>.</w:t>
      </w:r>
    </w:p>
    <w:sectPr w:rsidR="00BB3C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E1077"/>
    <w:multiLevelType w:val="hybridMultilevel"/>
    <w:tmpl w:val="AE4E934E"/>
    <w:lvl w:ilvl="0" w:tplc="BF74409C">
      <w:start w:val="1"/>
      <w:numFmt w:val="bullet"/>
      <w:lvlText w:val=""/>
      <w:lvlJc w:val="left"/>
      <w:pPr>
        <w:tabs>
          <w:tab w:val="num" w:pos="720"/>
        </w:tabs>
        <w:ind w:left="720" w:hanging="360"/>
      </w:pPr>
      <w:rPr>
        <w:rFonts w:ascii="Wingdings" w:hAnsi="Wingdings" w:hint="default"/>
      </w:rPr>
    </w:lvl>
    <w:lvl w:ilvl="1" w:tplc="1A0809FE" w:tentative="1">
      <w:start w:val="1"/>
      <w:numFmt w:val="bullet"/>
      <w:lvlText w:val=""/>
      <w:lvlJc w:val="left"/>
      <w:pPr>
        <w:tabs>
          <w:tab w:val="num" w:pos="1440"/>
        </w:tabs>
        <w:ind w:left="1440" w:hanging="360"/>
      </w:pPr>
      <w:rPr>
        <w:rFonts w:ascii="Wingdings" w:hAnsi="Wingdings" w:hint="default"/>
      </w:rPr>
    </w:lvl>
    <w:lvl w:ilvl="2" w:tplc="9BA6D764" w:tentative="1">
      <w:start w:val="1"/>
      <w:numFmt w:val="bullet"/>
      <w:lvlText w:val=""/>
      <w:lvlJc w:val="left"/>
      <w:pPr>
        <w:tabs>
          <w:tab w:val="num" w:pos="2160"/>
        </w:tabs>
        <w:ind w:left="2160" w:hanging="360"/>
      </w:pPr>
      <w:rPr>
        <w:rFonts w:ascii="Wingdings" w:hAnsi="Wingdings" w:hint="default"/>
      </w:rPr>
    </w:lvl>
    <w:lvl w:ilvl="3" w:tplc="B130124A" w:tentative="1">
      <w:start w:val="1"/>
      <w:numFmt w:val="bullet"/>
      <w:lvlText w:val=""/>
      <w:lvlJc w:val="left"/>
      <w:pPr>
        <w:tabs>
          <w:tab w:val="num" w:pos="2880"/>
        </w:tabs>
        <w:ind w:left="2880" w:hanging="360"/>
      </w:pPr>
      <w:rPr>
        <w:rFonts w:ascii="Wingdings" w:hAnsi="Wingdings" w:hint="default"/>
      </w:rPr>
    </w:lvl>
    <w:lvl w:ilvl="4" w:tplc="FEDE357E" w:tentative="1">
      <w:start w:val="1"/>
      <w:numFmt w:val="bullet"/>
      <w:lvlText w:val=""/>
      <w:lvlJc w:val="left"/>
      <w:pPr>
        <w:tabs>
          <w:tab w:val="num" w:pos="3600"/>
        </w:tabs>
        <w:ind w:left="3600" w:hanging="360"/>
      </w:pPr>
      <w:rPr>
        <w:rFonts w:ascii="Wingdings" w:hAnsi="Wingdings" w:hint="default"/>
      </w:rPr>
    </w:lvl>
    <w:lvl w:ilvl="5" w:tplc="B184C392" w:tentative="1">
      <w:start w:val="1"/>
      <w:numFmt w:val="bullet"/>
      <w:lvlText w:val=""/>
      <w:lvlJc w:val="left"/>
      <w:pPr>
        <w:tabs>
          <w:tab w:val="num" w:pos="4320"/>
        </w:tabs>
        <w:ind w:left="4320" w:hanging="360"/>
      </w:pPr>
      <w:rPr>
        <w:rFonts w:ascii="Wingdings" w:hAnsi="Wingdings" w:hint="default"/>
      </w:rPr>
    </w:lvl>
    <w:lvl w:ilvl="6" w:tplc="7512B642" w:tentative="1">
      <w:start w:val="1"/>
      <w:numFmt w:val="bullet"/>
      <w:lvlText w:val=""/>
      <w:lvlJc w:val="left"/>
      <w:pPr>
        <w:tabs>
          <w:tab w:val="num" w:pos="5040"/>
        </w:tabs>
        <w:ind w:left="5040" w:hanging="360"/>
      </w:pPr>
      <w:rPr>
        <w:rFonts w:ascii="Wingdings" w:hAnsi="Wingdings" w:hint="default"/>
      </w:rPr>
    </w:lvl>
    <w:lvl w:ilvl="7" w:tplc="82CEBFC2" w:tentative="1">
      <w:start w:val="1"/>
      <w:numFmt w:val="bullet"/>
      <w:lvlText w:val=""/>
      <w:lvlJc w:val="left"/>
      <w:pPr>
        <w:tabs>
          <w:tab w:val="num" w:pos="5760"/>
        </w:tabs>
        <w:ind w:left="5760" w:hanging="360"/>
      </w:pPr>
      <w:rPr>
        <w:rFonts w:ascii="Wingdings" w:hAnsi="Wingdings" w:hint="default"/>
      </w:rPr>
    </w:lvl>
    <w:lvl w:ilvl="8" w:tplc="19423C4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57427D"/>
    <w:multiLevelType w:val="hybridMultilevel"/>
    <w:tmpl w:val="E862AA84"/>
    <w:lvl w:ilvl="0" w:tplc="2006CBDC">
      <w:start w:val="1"/>
      <w:numFmt w:val="bullet"/>
      <w:lvlText w:val=""/>
      <w:lvlJc w:val="left"/>
      <w:pPr>
        <w:tabs>
          <w:tab w:val="num" w:pos="720"/>
        </w:tabs>
        <w:ind w:left="720" w:hanging="360"/>
      </w:pPr>
      <w:rPr>
        <w:rFonts w:ascii="Wingdings" w:hAnsi="Wingdings" w:hint="default"/>
      </w:rPr>
    </w:lvl>
    <w:lvl w:ilvl="1" w:tplc="30FCA8E2" w:tentative="1">
      <w:start w:val="1"/>
      <w:numFmt w:val="bullet"/>
      <w:lvlText w:val=""/>
      <w:lvlJc w:val="left"/>
      <w:pPr>
        <w:tabs>
          <w:tab w:val="num" w:pos="1440"/>
        </w:tabs>
        <w:ind w:left="1440" w:hanging="360"/>
      </w:pPr>
      <w:rPr>
        <w:rFonts w:ascii="Wingdings" w:hAnsi="Wingdings" w:hint="default"/>
      </w:rPr>
    </w:lvl>
    <w:lvl w:ilvl="2" w:tplc="7CA2F178" w:tentative="1">
      <w:start w:val="1"/>
      <w:numFmt w:val="bullet"/>
      <w:lvlText w:val=""/>
      <w:lvlJc w:val="left"/>
      <w:pPr>
        <w:tabs>
          <w:tab w:val="num" w:pos="2160"/>
        </w:tabs>
        <w:ind w:left="2160" w:hanging="360"/>
      </w:pPr>
      <w:rPr>
        <w:rFonts w:ascii="Wingdings" w:hAnsi="Wingdings" w:hint="default"/>
      </w:rPr>
    </w:lvl>
    <w:lvl w:ilvl="3" w:tplc="35B82C16" w:tentative="1">
      <w:start w:val="1"/>
      <w:numFmt w:val="bullet"/>
      <w:lvlText w:val=""/>
      <w:lvlJc w:val="left"/>
      <w:pPr>
        <w:tabs>
          <w:tab w:val="num" w:pos="2880"/>
        </w:tabs>
        <w:ind w:left="2880" w:hanging="360"/>
      </w:pPr>
      <w:rPr>
        <w:rFonts w:ascii="Wingdings" w:hAnsi="Wingdings" w:hint="default"/>
      </w:rPr>
    </w:lvl>
    <w:lvl w:ilvl="4" w:tplc="959AB690" w:tentative="1">
      <w:start w:val="1"/>
      <w:numFmt w:val="bullet"/>
      <w:lvlText w:val=""/>
      <w:lvlJc w:val="left"/>
      <w:pPr>
        <w:tabs>
          <w:tab w:val="num" w:pos="3600"/>
        </w:tabs>
        <w:ind w:left="3600" w:hanging="360"/>
      </w:pPr>
      <w:rPr>
        <w:rFonts w:ascii="Wingdings" w:hAnsi="Wingdings" w:hint="default"/>
      </w:rPr>
    </w:lvl>
    <w:lvl w:ilvl="5" w:tplc="5CF46DDA" w:tentative="1">
      <w:start w:val="1"/>
      <w:numFmt w:val="bullet"/>
      <w:lvlText w:val=""/>
      <w:lvlJc w:val="left"/>
      <w:pPr>
        <w:tabs>
          <w:tab w:val="num" w:pos="4320"/>
        </w:tabs>
        <w:ind w:left="4320" w:hanging="360"/>
      </w:pPr>
      <w:rPr>
        <w:rFonts w:ascii="Wingdings" w:hAnsi="Wingdings" w:hint="default"/>
      </w:rPr>
    </w:lvl>
    <w:lvl w:ilvl="6" w:tplc="9F946B6A" w:tentative="1">
      <w:start w:val="1"/>
      <w:numFmt w:val="bullet"/>
      <w:lvlText w:val=""/>
      <w:lvlJc w:val="left"/>
      <w:pPr>
        <w:tabs>
          <w:tab w:val="num" w:pos="5040"/>
        </w:tabs>
        <w:ind w:left="5040" w:hanging="360"/>
      </w:pPr>
      <w:rPr>
        <w:rFonts w:ascii="Wingdings" w:hAnsi="Wingdings" w:hint="default"/>
      </w:rPr>
    </w:lvl>
    <w:lvl w:ilvl="7" w:tplc="573401FC" w:tentative="1">
      <w:start w:val="1"/>
      <w:numFmt w:val="bullet"/>
      <w:lvlText w:val=""/>
      <w:lvlJc w:val="left"/>
      <w:pPr>
        <w:tabs>
          <w:tab w:val="num" w:pos="5760"/>
        </w:tabs>
        <w:ind w:left="5760" w:hanging="360"/>
      </w:pPr>
      <w:rPr>
        <w:rFonts w:ascii="Wingdings" w:hAnsi="Wingdings" w:hint="default"/>
      </w:rPr>
    </w:lvl>
    <w:lvl w:ilvl="8" w:tplc="7678383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49597C"/>
    <w:multiLevelType w:val="hybridMultilevel"/>
    <w:tmpl w:val="43C44C86"/>
    <w:lvl w:ilvl="0" w:tplc="00C8322E">
      <w:start w:val="1"/>
      <w:numFmt w:val="bullet"/>
      <w:lvlText w:val=""/>
      <w:lvlJc w:val="left"/>
      <w:pPr>
        <w:tabs>
          <w:tab w:val="num" w:pos="720"/>
        </w:tabs>
        <w:ind w:left="720" w:hanging="360"/>
      </w:pPr>
      <w:rPr>
        <w:rFonts w:ascii="Wingdings" w:hAnsi="Wingdings" w:hint="default"/>
      </w:rPr>
    </w:lvl>
    <w:lvl w:ilvl="1" w:tplc="8BA6EE44" w:tentative="1">
      <w:start w:val="1"/>
      <w:numFmt w:val="bullet"/>
      <w:lvlText w:val=""/>
      <w:lvlJc w:val="left"/>
      <w:pPr>
        <w:tabs>
          <w:tab w:val="num" w:pos="1440"/>
        </w:tabs>
        <w:ind w:left="1440" w:hanging="360"/>
      </w:pPr>
      <w:rPr>
        <w:rFonts w:ascii="Wingdings" w:hAnsi="Wingdings" w:hint="default"/>
      </w:rPr>
    </w:lvl>
    <w:lvl w:ilvl="2" w:tplc="421A63C6" w:tentative="1">
      <w:start w:val="1"/>
      <w:numFmt w:val="bullet"/>
      <w:lvlText w:val=""/>
      <w:lvlJc w:val="left"/>
      <w:pPr>
        <w:tabs>
          <w:tab w:val="num" w:pos="2160"/>
        </w:tabs>
        <w:ind w:left="2160" w:hanging="360"/>
      </w:pPr>
      <w:rPr>
        <w:rFonts w:ascii="Wingdings" w:hAnsi="Wingdings" w:hint="default"/>
      </w:rPr>
    </w:lvl>
    <w:lvl w:ilvl="3" w:tplc="FD4CEE8E" w:tentative="1">
      <w:start w:val="1"/>
      <w:numFmt w:val="bullet"/>
      <w:lvlText w:val=""/>
      <w:lvlJc w:val="left"/>
      <w:pPr>
        <w:tabs>
          <w:tab w:val="num" w:pos="2880"/>
        </w:tabs>
        <w:ind w:left="2880" w:hanging="360"/>
      </w:pPr>
      <w:rPr>
        <w:rFonts w:ascii="Wingdings" w:hAnsi="Wingdings" w:hint="default"/>
      </w:rPr>
    </w:lvl>
    <w:lvl w:ilvl="4" w:tplc="794A7916" w:tentative="1">
      <w:start w:val="1"/>
      <w:numFmt w:val="bullet"/>
      <w:lvlText w:val=""/>
      <w:lvlJc w:val="left"/>
      <w:pPr>
        <w:tabs>
          <w:tab w:val="num" w:pos="3600"/>
        </w:tabs>
        <w:ind w:left="3600" w:hanging="360"/>
      </w:pPr>
      <w:rPr>
        <w:rFonts w:ascii="Wingdings" w:hAnsi="Wingdings" w:hint="default"/>
      </w:rPr>
    </w:lvl>
    <w:lvl w:ilvl="5" w:tplc="E0C6B836" w:tentative="1">
      <w:start w:val="1"/>
      <w:numFmt w:val="bullet"/>
      <w:lvlText w:val=""/>
      <w:lvlJc w:val="left"/>
      <w:pPr>
        <w:tabs>
          <w:tab w:val="num" w:pos="4320"/>
        </w:tabs>
        <w:ind w:left="4320" w:hanging="360"/>
      </w:pPr>
      <w:rPr>
        <w:rFonts w:ascii="Wingdings" w:hAnsi="Wingdings" w:hint="default"/>
      </w:rPr>
    </w:lvl>
    <w:lvl w:ilvl="6" w:tplc="62606258" w:tentative="1">
      <w:start w:val="1"/>
      <w:numFmt w:val="bullet"/>
      <w:lvlText w:val=""/>
      <w:lvlJc w:val="left"/>
      <w:pPr>
        <w:tabs>
          <w:tab w:val="num" w:pos="5040"/>
        </w:tabs>
        <w:ind w:left="5040" w:hanging="360"/>
      </w:pPr>
      <w:rPr>
        <w:rFonts w:ascii="Wingdings" w:hAnsi="Wingdings" w:hint="default"/>
      </w:rPr>
    </w:lvl>
    <w:lvl w:ilvl="7" w:tplc="469E99B4" w:tentative="1">
      <w:start w:val="1"/>
      <w:numFmt w:val="bullet"/>
      <w:lvlText w:val=""/>
      <w:lvlJc w:val="left"/>
      <w:pPr>
        <w:tabs>
          <w:tab w:val="num" w:pos="5760"/>
        </w:tabs>
        <w:ind w:left="5760" w:hanging="360"/>
      </w:pPr>
      <w:rPr>
        <w:rFonts w:ascii="Wingdings" w:hAnsi="Wingdings" w:hint="default"/>
      </w:rPr>
    </w:lvl>
    <w:lvl w:ilvl="8" w:tplc="11460F7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BC26C2"/>
    <w:multiLevelType w:val="hybridMultilevel"/>
    <w:tmpl w:val="41CA5CAC"/>
    <w:lvl w:ilvl="0" w:tplc="BBA41922">
      <w:start w:val="1"/>
      <w:numFmt w:val="bullet"/>
      <w:lvlText w:val="•"/>
      <w:lvlJc w:val="left"/>
      <w:pPr>
        <w:tabs>
          <w:tab w:val="num" w:pos="720"/>
        </w:tabs>
        <w:ind w:left="720" w:hanging="360"/>
      </w:pPr>
      <w:rPr>
        <w:rFonts w:ascii="Arial" w:hAnsi="Arial" w:hint="default"/>
      </w:rPr>
    </w:lvl>
    <w:lvl w:ilvl="1" w:tplc="B112A712" w:tentative="1">
      <w:start w:val="1"/>
      <w:numFmt w:val="bullet"/>
      <w:lvlText w:val="•"/>
      <w:lvlJc w:val="left"/>
      <w:pPr>
        <w:tabs>
          <w:tab w:val="num" w:pos="1440"/>
        </w:tabs>
        <w:ind w:left="1440" w:hanging="360"/>
      </w:pPr>
      <w:rPr>
        <w:rFonts w:ascii="Arial" w:hAnsi="Arial" w:hint="default"/>
      </w:rPr>
    </w:lvl>
    <w:lvl w:ilvl="2" w:tplc="C73E29AE" w:tentative="1">
      <w:start w:val="1"/>
      <w:numFmt w:val="bullet"/>
      <w:lvlText w:val="•"/>
      <w:lvlJc w:val="left"/>
      <w:pPr>
        <w:tabs>
          <w:tab w:val="num" w:pos="2160"/>
        </w:tabs>
        <w:ind w:left="2160" w:hanging="360"/>
      </w:pPr>
      <w:rPr>
        <w:rFonts w:ascii="Arial" w:hAnsi="Arial" w:hint="default"/>
      </w:rPr>
    </w:lvl>
    <w:lvl w:ilvl="3" w:tplc="4EC2E1BA" w:tentative="1">
      <w:start w:val="1"/>
      <w:numFmt w:val="bullet"/>
      <w:lvlText w:val="•"/>
      <w:lvlJc w:val="left"/>
      <w:pPr>
        <w:tabs>
          <w:tab w:val="num" w:pos="2880"/>
        </w:tabs>
        <w:ind w:left="2880" w:hanging="360"/>
      </w:pPr>
      <w:rPr>
        <w:rFonts w:ascii="Arial" w:hAnsi="Arial" w:hint="default"/>
      </w:rPr>
    </w:lvl>
    <w:lvl w:ilvl="4" w:tplc="1926511C" w:tentative="1">
      <w:start w:val="1"/>
      <w:numFmt w:val="bullet"/>
      <w:lvlText w:val="•"/>
      <w:lvlJc w:val="left"/>
      <w:pPr>
        <w:tabs>
          <w:tab w:val="num" w:pos="3600"/>
        </w:tabs>
        <w:ind w:left="3600" w:hanging="360"/>
      </w:pPr>
      <w:rPr>
        <w:rFonts w:ascii="Arial" w:hAnsi="Arial" w:hint="default"/>
      </w:rPr>
    </w:lvl>
    <w:lvl w:ilvl="5" w:tplc="2CC4AD78" w:tentative="1">
      <w:start w:val="1"/>
      <w:numFmt w:val="bullet"/>
      <w:lvlText w:val="•"/>
      <w:lvlJc w:val="left"/>
      <w:pPr>
        <w:tabs>
          <w:tab w:val="num" w:pos="4320"/>
        </w:tabs>
        <w:ind w:left="4320" w:hanging="360"/>
      </w:pPr>
      <w:rPr>
        <w:rFonts w:ascii="Arial" w:hAnsi="Arial" w:hint="default"/>
      </w:rPr>
    </w:lvl>
    <w:lvl w:ilvl="6" w:tplc="3F12EFCE" w:tentative="1">
      <w:start w:val="1"/>
      <w:numFmt w:val="bullet"/>
      <w:lvlText w:val="•"/>
      <w:lvlJc w:val="left"/>
      <w:pPr>
        <w:tabs>
          <w:tab w:val="num" w:pos="5040"/>
        </w:tabs>
        <w:ind w:left="5040" w:hanging="360"/>
      </w:pPr>
      <w:rPr>
        <w:rFonts w:ascii="Arial" w:hAnsi="Arial" w:hint="default"/>
      </w:rPr>
    </w:lvl>
    <w:lvl w:ilvl="7" w:tplc="62CE0C44" w:tentative="1">
      <w:start w:val="1"/>
      <w:numFmt w:val="bullet"/>
      <w:lvlText w:val="•"/>
      <w:lvlJc w:val="left"/>
      <w:pPr>
        <w:tabs>
          <w:tab w:val="num" w:pos="5760"/>
        </w:tabs>
        <w:ind w:left="5760" w:hanging="360"/>
      </w:pPr>
      <w:rPr>
        <w:rFonts w:ascii="Arial" w:hAnsi="Arial" w:hint="default"/>
      </w:rPr>
    </w:lvl>
    <w:lvl w:ilvl="8" w:tplc="E24C336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4831A22"/>
    <w:multiLevelType w:val="hybridMultilevel"/>
    <w:tmpl w:val="91D2C062"/>
    <w:lvl w:ilvl="0" w:tplc="F5C06F96">
      <w:start w:val="1"/>
      <w:numFmt w:val="bullet"/>
      <w:lvlText w:val="•"/>
      <w:lvlJc w:val="left"/>
      <w:pPr>
        <w:tabs>
          <w:tab w:val="num" w:pos="720"/>
        </w:tabs>
        <w:ind w:left="720" w:hanging="360"/>
      </w:pPr>
      <w:rPr>
        <w:rFonts w:ascii="Arial" w:hAnsi="Arial" w:hint="default"/>
      </w:rPr>
    </w:lvl>
    <w:lvl w:ilvl="1" w:tplc="623E5F02" w:tentative="1">
      <w:start w:val="1"/>
      <w:numFmt w:val="bullet"/>
      <w:lvlText w:val="•"/>
      <w:lvlJc w:val="left"/>
      <w:pPr>
        <w:tabs>
          <w:tab w:val="num" w:pos="1440"/>
        </w:tabs>
        <w:ind w:left="1440" w:hanging="360"/>
      </w:pPr>
      <w:rPr>
        <w:rFonts w:ascii="Arial" w:hAnsi="Arial" w:hint="default"/>
      </w:rPr>
    </w:lvl>
    <w:lvl w:ilvl="2" w:tplc="5D60B8C4" w:tentative="1">
      <w:start w:val="1"/>
      <w:numFmt w:val="bullet"/>
      <w:lvlText w:val="•"/>
      <w:lvlJc w:val="left"/>
      <w:pPr>
        <w:tabs>
          <w:tab w:val="num" w:pos="2160"/>
        </w:tabs>
        <w:ind w:left="2160" w:hanging="360"/>
      </w:pPr>
      <w:rPr>
        <w:rFonts w:ascii="Arial" w:hAnsi="Arial" w:hint="default"/>
      </w:rPr>
    </w:lvl>
    <w:lvl w:ilvl="3" w:tplc="D93C53EA" w:tentative="1">
      <w:start w:val="1"/>
      <w:numFmt w:val="bullet"/>
      <w:lvlText w:val="•"/>
      <w:lvlJc w:val="left"/>
      <w:pPr>
        <w:tabs>
          <w:tab w:val="num" w:pos="2880"/>
        </w:tabs>
        <w:ind w:left="2880" w:hanging="360"/>
      </w:pPr>
      <w:rPr>
        <w:rFonts w:ascii="Arial" w:hAnsi="Arial" w:hint="default"/>
      </w:rPr>
    </w:lvl>
    <w:lvl w:ilvl="4" w:tplc="D1D680A2" w:tentative="1">
      <w:start w:val="1"/>
      <w:numFmt w:val="bullet"/>
      <w:lvlText w:val="•"/>
      <w:lvlJc w:val="left"/>
      <w:pPr>
        <w:tabs>
          <w:tab w:val="num" w:pos="3600"/>
        </w:tabs>
        <w:ind w:left="3600" w:hanging="360"/>
      </w:pPr>
      <w:rPr>
        <w:rFonts w:ascii="Arial" w:hAnsi="Arial" w:hint="default"/>
      </w:rPr>
    </w:lvl>
    <w:lvl w:ilvl="5" w:tplc="4FA02FC0" w:tentative="1">
      <w:start w:val="1"/>
      <w:numFmt w:val="bullet"/>
      <w:lvlText w:val="•"/>
      <w:lvlJc w:val="left"/>
      <w:pPr>
        <w:tabs>
          <w:tab w:val="num" w:pos="4320"/>
        </w:tabs>
        <w:ind w:left="4320" w:hanging="360"/>
      </w:pPr>
      <w:rPr>
        <w:rFonts w:ascii="Arial" w:hAnsi="Arial" w:hint="default"/>
      </w:rPr>
    </w:lvl>
    <w:lvl w:ilvl="6" w:tplc="41667A40" w:tentative="1">
      <w:start w:val="1"/>
      <w:numFmt w:val="bullet"/>
      <w:lvlText w:val="•"/>
      <w:lvlJc w:val="left"/>
      <w:pPr>
        <w:tabs>
          <w:tab w:val="num" w:pos="5040"/>
        </w:tabs>
        <w:ind w:left="5040" w:hanging="360"/>
      </w:pPr>
      <w:rPr>
        <w:rFonts w:ascii="Arial" w:hAnsi="Arial" w:hint="default"/>
      </w:rPr>
    </w:lvl>
    <w:lvl w:ilvl="7" w:tplc="83920234" w:tentative="1">
      <w:start w:val="1"/>
      <w:numFmt w:val="bullet"/>
      <w:lvlText w:val="•"/>
      <w:lvlJc w:val="left"/>
      <w:pPr>
        <w:tabs>
          <w:tab w:val="num" w:pos="5760"/>
        </w:tabs>
        <w:ind w:left="5760" w:hanging="360"/>
      </w:pPr>
      <w:rPr>
        <w:rFonts w:ascii="Arial" w:hAnsi="Arial" w:hint="default"/>
      </w:rPr>
    </w:lvl>
    <w:lvl w:ilvl="8" w:tplc="D9F8AE82"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8CA"/>
    <w:rsid w:val="00166C5E"/>
    <w:rsid w:val="006158CA"/>
    <w:rsid w:val="00817F7D"/>
    <w:rsid w:val="009B2802"/>
    <w:rsid w:val="00A31461"/>
    <w:rsid w:val="00BB3CBB"/>
    <w:rsid w:val="00BB496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32E42"/>
  <w15:chartTrackingRefBased/>
  <w15:docId w15:val="{B11F4E98-98EC-4522-824D-94AAE542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CBB"/>
    <w:pPr>
      <w:spacing w:after="0" w:line="240" w:lineRule="auto"/>
      <w:ind w:left="720"/>
      <w:contextualSpacing/>
    </w:pPr>
    <w:rPr>
      <w:rFonts w:ascii="Times New Roman" w:eastAsia="Times New Roman" w:hAnsi="Times New Roman" w:cs="Times New Roman"/>
      <w:sz w:val="24"/>
      <w:szCs w:val="24"/>
      <w:lang w:eastAsia="en-IE"/>
    </w:rPr>
  </w:style>
  <w:style w:type="paragraph" w:styleId="NormalWeb">
    <w:name w:val="Normal (Web)"/>
    <w:basedOn w:val="Normal"/>
    <w:uiPriority w:val="99"/>
    <w:unhideWhenUsed/>
    <w:rsid w:val="00BB3CBB"/>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053570">
      <w:bodyDiv w:val="1"/>
      <w:marLeft w:val="0"/>
      <w:marRight w:val="0"/>
      <w:marTop w:val="0"/>
      <w:marBottom w:val="0"/>
      <w:divBdr>
        <w:top w:val="none" w:sz="0" w:space="0" w:color="auto"/>
        <w:left w:val="none" w:sz="0" w:space="0" w:color="auto"/>
        <w:bottom w:val="none" w:sz="0" w:space="0" w:color="auto"/>
        <w:right w:val="none" w:sz="0" w:space="0" w:color="auto"/>
      </w:divBdr>
    </w:div>
    <w:div w:id="773137209">
      <w:bodyDiv w:val="1"/>
      <w:marLeft w:val="0"/>
      <w:marRight w:val="0"/>
      <w:marTop w:val="0"/>
      <w:marBottom w:val="0"/>
      <w:divBdr>
        <w:top w:val="none" w:sz="0" w:space="0" w:color="auto"/>
        <w:left w:val="none" w:sz="0" w:space="0" w:color="auto"/>
        <w:bottom w:val="none" w:sz="0" w:space="0" w:color="auto"/>
        <w:right w:val="none" w:sz="0" w:space="0" w:color="auto"/>
      </w:divBdr>
    </w:div>
    <w:div w:id="910624797">
      <w:bodyDiv w:val="1"/>
      <w:marLeft w:val="0"/>
      <w:marRight w:val="0"/>
      <w:marTop w:val="0"/>
      <w:marBottom w:val="0"/>
      <w:divBdr>
        <w:top w:val="none" w:sz="0" w:space="0" w:color="auto"/>
        <w:left w:val="none" w:sz="0" w:space="0" w:color="auto"/>
        <w:bottom w:val="none" w:sz="0" w:space="0" w:color="auto"/>
        <w:right w:val="none" w:sz="0" w:space="0" w:color="auto"/>
      </w:divBdr>
    </w:div>
    <w:div w:id="942808192">
      <w:bodyDiv w:val="1"/>
      <w:marLeft w:val="0"/>
      <w:marRight w:val="0"/>
      <w:marTop w:val="0"/>
      <w:marBottom w:val="0"/>
      <w:divBdr>
        <w:top w:val="none" w:sz="0" w:space="0" w:color="auto"/>
        <w:left w:val="none" w:sz="0" w:space="0" w:color="auto"/>
        <w:bottom w:val="none" w:sz="0" w:space="0" w:color="auto"/>
        <w:right w:val="none" w:sz="0" w:space="0" w:color="auto"/>
      </w:divBdr>
    </w:div>
    <w:div w:id="1236084218">
      <w:bodyDiv w:val="1"/>
      <w:marLeft w:val="0"/>
      <w:marRight w:val="0"/>
      <w:marTop w:val="0"/>
      <w:marBottom w:val="0"/>
      <w:divBdr>
        <w:top w:val="none" w:sz="0" w:space="0" w:color="auto"/>
        <w:left w:val="none" w:sz="0" w:space="0" w:color="auto"/>
        <w:bottom w:val="none" w:sz="0" w:space="0" w:color="auto"/>
        <w:right w:val="none" w:sz="0" w:space="0" w:color="auto"/>
      </w:divBdr>
    </w:div>
    <w:div w:id="1451582302">
      <w:bodyDiv w:val="1"/>
      <w:marLeft w:val="0"/>
      <w:marRight w:val="0"/>
      <w:marTop w:val="0"/>
      <w:marBottom w:val="0"/>
      <w:divBdr>
        <w:top w:val="none" w:sz="0" w:space="0" w:color="auto"/>
        <w:left w:val="none" w:sz="0" w:space="0" w:color="auto"/>
        <w:bottom w:val="none" w:sz="0" w:space="0" w:color="auto"/>
        <w:right w:val="none" w:sz="0" w:space="0" w:color="auto"/>
      </w:divBdr>
      <w:divsChild>
        <w:div w:id="974678417">
          <w:marLeft w:val="907"/>
          <w:marRight w:val="0"/>
          <w:marTop w:val="0"/>
          <w:marBottom w:val="0"/>
          <w:divBdr>
            <w:top w:val="none" w:sz="0" w:space="0" w:color="auto"/>
            <w:left w:val="none" w:sz="0" w:space="0" w:color="auto"/>
            <w:bottom w:val="none" w:sz="0" w:space="0" w:color="auto"/>
            <w:right w:val="none" w:sz="0" w:space="0" w:color="auto"/>
          </w:divBdr>
        </w:div>
        <w:div w:id="382873210">
          <w:marLeft w:val="907"/>
          <w:marRight w:val="0"/>
          <w:marTop w:val="0"/>
          <w:marBottom w:val="0"/>
          <w:divBdr>
            <w:top w:val="none" w:sz="0" w:space="0" w:color="auto"/>
            <w:left w:val="none" w:sz="0" w:space="0" w:color="auto"/>
            <w:bottom w:val="none" w:sz="0" w:space="0" w:color="auto"/>
            <w:right w:val="none" w:sz="0" w:space="0" w:color="auto"/>
          </w:divBdr>
        </w:div>
        <w:div w:id="1008409381">
          <w:marLeft w:val="907"/>
          <w:marRight w:val="0"/>
          <w:marTop w:val="0"/>
          <w:marBottom w:val="0"/>
          <w:divBdr>
            <w:top w:val="none" w:sz="0" w:space="0" w:color="auto"/>
            <w:left w:val="none" w:sz="0" w:space="0" w:color="auto"/>
            <w:bottom w:val="none" w:sz="0" w:space="0" w:color="auto"/>
            <w:right w:val="none" w:sz="0" w:space="0" w:color="auto"/>
          </w:divBdr>
        </w:div>
        <w:div w:id="1317957475">
          <w:marLeft w:val="907"/>
          <w:marRight w:val="0"/>
          <w:marTop w:val="0"/>
          <w:marBottom w:val="0"/>
          <w:divBdr>
            <w:top w:val="none" w:sz="0" w:space="0" w:color="auto"/>
            <w:left w:val="none" w:sz="0" w:space="0" w:color="auto"/>
            <w:bottom w:val="none" w:sz="0" w:space="0" w:color="auto"/>
            <w:right w:val="none" w:sz="0" w:space="0" w:color="auto"/>
          </w:divBdr>
        </w:div>
      </w:divsChild>
    </w:div>
    <w:div w:id="1945922989">
      <w:bodyDiv w:val="1"/>
      <w:marLeft w:val="0"/>
      <w:marRight w:val="0"/>
      <w:marTop w:val="0"/>
      <w:marBottom w:val="0"/>
      <w:divBdr>
        <w:top w:val="none" w:sz="0" w:space="0" w:color="auto"/>
        <w:left w:val="none" w:sz="0" w:space="0" w:color="auto"/>
        <w:bottom w:val="none" w:sz="0" w:space="0" w:color="auto"/>
        <w:right w:val="none" w:sz="0" w:space="0" w:color="auto"/>
      </w:divBdr>
    </w:div>
    <w:div w:id="195343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Hartel</dc:creator>
  <cp:keywords/>
  <dc:description/>
  <cp:lastModifiedBy>Paul Hartel</cp:lastModifiedBy>
  <cp:revision>7</cp:revision>
  <dcterms:created xsi:type="dcterms:W3CDTF">2021-05-26T06:41:00Z</dcterms:created>
  <dcterms:modified xsi:type="dcterms:W3CDTF">2021-06-18T17:45:00Z</dcterms:modified>
</cp:coreProperties>
</file>