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body>
    <w:p/>
    <w:tbl>
      <w:tblPr>
        <w:tblLayout w:type="fixed"/>
      </w:tblPr>
      <w:tblGrid>
        <w:gridCol w:w="2420"/>
        <w:gridCol w:w="10600"/>
        <w:gridCol w:w="60"/>
        <w:gridCol w:w="13080"/>
      </w:tblGrid>
      <w:tr>
        <w:trPr/>
        <w:tc>
          <w:tcPr>
            <w:cnfStyle w:val="100010000000"/>
            <w:tcW w:w="2420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20" w:type="dxa"/>
              <w:left w:w="20" w:type="dxa"/>
              <w:bottom w:w="55" w:type="dxa"/>
              <w:right w:w="220" w:type="dxa"/>
            </w:tcMar>
            <w:vAlign w:val="top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Title</w:t>
            </w:r>
          </w:p>
        </w:tc>
        <w:tc>
          <w:tcPr>
            <w:cnfStyle w:val="100001000000"/>
            <w:tcW w:w="10600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20" w:type="dxa"/>
              <w:left w:w="20" w:type="dxa"/>
              <w:bottom w:w="55" w:type="dxa"/>
              <w:right w:w="20" w:type="dxa"/>
            </w:tcMar>
            <w:vAlign w:val="top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Treatment outcomes of cervical carcinoma in HIV-infected patients</w:t>
            </w:r>
          </w:p>
        </w:tc>
      </w:tr>
      <w:tr>
        <w:trPr/>
        <w:tc>
          <w:tcPr>
            <w:cnfStyle w:val="000010000000"/>
            <w:tcW w:w="13080" w:type="dxa"/>
            <w:gridSpan w:val="3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 </w:t>
            </w:r>
          </w:p>
        </w:tc>
        <w:tc>
          <w:tcPr>
            <w:cnfStyle w:val="000001000000"/>
            <w:tcW w:w="13080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</w:p>
        </w:tc>
      </w:tr>
      <w:tr>
        <w:trPr/>
        <w:tc>
          <w:tcPr>
            <w:cnfStyle w:val="000010000000"/>
            <w:tcW w:w="2420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20" w:type="dxa"/>
              <w:left w:w="20" w:type="dxa"/>
              <w:bottom w:w="55" w:type="dxa"/>
              <w:right w:w="220" w:type="dxa"/>
            </w:tcMar>
            <w:vAlign w:val="top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Abstract</w:t>
            </w:r>
          </w:p>
        </w:tc>
        <w:tc>
          <w:tcPr>
            <w:cnfStyle w:val="000001000000"/>
            <w:tcW w:w="10600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nil"/>
            <w:tcMar>
              <w:top w:w="20" w:type="dxa"/>
              <w:left w:w="20" w:type="dxa"/>
              <w:bottom w:w="55" w:type="dxa"/>
              <w:right w:w="20" w:type="dxa"/>
            </w:tcMar>
            <w:vAlign w:val="top"/>
          </w:tcPr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b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Objective:</w:t>
            </w:r>
            <w:r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 xml:space="preserve"> To assess mortality, treatment response, relapse, treatment toxicities and prognostic factors among HIV-infected patients with cervical carcinoma in department of radiology, faculty of Medicine Vajira Hospital</w:t>
            </w:r>
          </w:p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b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Material and Method</w:t>
            </w:r>
            <w:r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: A retrospective analysis of HIV-infected patients with cervical cancer who were treated in department of radiology, Vajira Hospital between 2006 and 2016. The Kaplan-Meier method was used for survival analysis. The authors analyzed association of patients and tumor characteristics with OS using the log-rank test and Cox models.</w:t>
            </w:r>
          </w:p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b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Results</w:t>
            </w:r>
            <w:r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: A total of 131 patients with HIV-infected cervix cancer were included. Eighty-one patients (61.8%) were previously diagnosed with AIDS and treated with ART, the rest of the patients (38.2%) is those who commenced an ART at the diagnosis of cervical cancer. The 5-year OS and DFS were 78.7% and 79.5%, respectively. Characteristics associated with a decrease of survival which is statistically significant include grade, stage and a lack of ART during cancer treatment. Severe late toxicity (2.3%) was found only in GU system.</w:t>
            </w:r>
          </w:p>
          <w:p>
            <w:pPr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spacing w:before="0" w:after="0" w:line="240" w:lineRule="auto"/>
              <w:ind w:left="0" w:right="0" w:firstLine="0"/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</w:pPr>
            <w:r>
              <w:rPr>
                <w:rFonts w:ascii="ArialMT"/>
                <w:b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Conclusion:</w:t>
            </w:r>
            <w:r>
              <w:rPr>
                <w:rFonts w:ascii="ArialMT"/>
                <w:b w:val="off"/>
                <w:outline w:val="off"/>
                <w:shadow w:val="off"/>
                <w:emboss w:val="off"/>
                <w:imprint w:val="off"/>
                <w:color w:val="111111"/>
                <w:spacing w:val="0"/>
                <w:sz w:val="22"/>
              </w:rPr>
              <w:t>  HIV-infected cervix cancer patients who were treated with ART and cancer treatment had a favorable survival outcome and toxicity.  Grade and stage of cancer significantly affect the survival outcome.</w:t>
            </w:r>
          </w:p>
        </w:tc>
      </w:tr>
    </w:tbl>
    <w:p/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alibri Light"/>
  <w:font w:name="ArialMT">
    <w:charset w:val="00"/>
    <w:family w:val="auto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mpat>
    <w:compatSetting w:name="compatibilityMode" w:uri="http://schemas.microsoft.com/office/word" w:val="14"/>
  </w:compat>
  <w:footnotePr/>
  <w:endnotePr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Ascii" w:eastAsiaTheme="minorEastAsia" w:hAnsiTheme="minorBidi"/>
        <w:sz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</dc:creator>
  <cp:lastModifiedBy>iPad</cp:lastModifiedBy>
</cp:coreProperties>
</file>