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Minion Pro" w:hAnsi="Minion Pro" w:eastAsia="Minion Pro" w:cs="Minion Pro"/>
          <w:b/>
          <w:bCs/>
          <w:color w:val="337AB7"/>
          <w:sz w:val="30"/>
          <w:szCs w:val="36"/>
          <w:lang w:eastAsia="en-US"/>
        </w:rPr>
      </w:pPr>
      <w:r>
        <w:rPr>
          <w:rFonts w:hint="eastAsia" w:ascii="Minion Pro" w:hAnsi="Minion Pro" w:eastAsia="Minion Pro" w:cs="Minion Pro"/>
          <w:b/>
          <w:bCs/>
          <w:color w:val="337AB7"/>
          <w:sz w:val="30"/>
          <w:szCs w:val="36"/>
          <w:lang w:eastAsia="en-US"/>
        </w:rPr>
        <w:t>The skeletal-related events of denosumab versus zoledronic acid in patients</w:t>
      </w:r>
      <w:r>
        <w:rPr>
          <w:rFonts w:hint="eastAsia" w:ascii="Minion Pro" w:hAnsi="Minion Pro" w:eastAsia="宋体" w:cs="Minion Pro"/>
          <w:b/>
          <w:bCs/>
          <w:color w:val="337AB7"/>
          <w:sz w:val="30"/>
          <w:szCs w:val="36"/>
          <w:lang w:val="en-US" w:eastAsia="zh-CN"/>
        </w:rPr>
        <w:t xml:space="preserve"> </w:t>
      </w:r>
      <w:r>
        <w:rPr>
          <w:rFonts w:hint="eastAsia" w:ascii="Minion Pro" w:hAnsi="Minion Pro" w:eastAsia="Minion Pro" w:cs="Minion Pro"/>
          <w:b/>
          <w:bCs/>
          <w:color w:val="337AB7"/>
          <w:sz w:val="30"/>
          <w:szCs w:val="36"/>
          <w:lang w:eastAsia="en-US"/>
        </w:rPr>
        <w:t>with bone metastases: A meta-analysis of randomized controlled trials</w:t>
      </w:r>
    </w:p>
    <w:p>
      <w:pPr>
        <w:jc w:val="center"/>
        <w:rPr>
          <w:rFonts w:hAnsi="Arial" w:eastAsia="MS PGothic"/>
          <w:color w:val="000000"/>
        </w:rPr>
      </w:pPr>
      <w:r>
        <w:rPr>
          <w:rFonts w:hAnsi="Arial" w:eastAsia="MS PGothic"/>
          <w:color w:val="000000"/>
        </w:rPr>
        <w:br w:type="textWrapping"/>
      </w:r>
      <w:r>
        <w:rPr>
          <w:rFonts w:hint="eastAsia" w:hAnsi="Arial" w:eastAsia="宋体"/>
          <w:color w:val="000000"/>
          <w:lang w:val="en-US" w:eastAsia="zh-CN"/>
        </w:rPr>
        <w:t>Feifei Pu, Jing Feng, Ping Xia</w:t>
      </w:r>
    </w:p>
    <w:p>
      <w:pPr>
        <w:jc w:val="center"/>
        <w:rPr>
          <w:rFonts w:hAnsi="Arial" w:eastAsia="MS PGothic"/>
          <w:color w:val="000000"/>
        </w:rPr>
      </w:pPr>
      <w:r>
        <w:rPr>
          <w:rFonts w:hint="eastAsia" w:hAnsi="Arial" w:eastAsia="MS PGothic"/>
          <w:color w:val="000000"/>
        </w:rPr>
        <w:t xml:space="preserve">Department of Orthopedics, </w:t>
      </w:r>
      <w:r>
        <w:rPr>
          <w:rFonts w:hint="eastAsia" w:hAnsi="Arial" w:eastAsia="宋体"/>
          <w:color w:val="000000"/>
          <w:lang w:val="en-US" w:eastAsia="zh-CN"/>
        </w:rPr>
        <w:t>Wuhan No.1</w:t>
      </w:r>
      <w:r>
        <w:rPr>
          <w:rFonts w:hint="eastAsia" w:hAnsi="Arial" w:eastAsia="MS PGothic"/>
          <w:color w:val="000000"/>
        </w:rPr>
        <w:t xml:space="preserve"> Hospital, Tongji Medical College, Huazhong University of Science and Technology</w:t>
      </w:r>
      <w:r>
        <w:rPr>
          <w:rFonts w:hAnsi="Arial" w:eastAsia="MS PGothic"/>
          <w:color w:val="000000"/>
        </w:rPr>
        <w:t xml:space="preserve">, </w:t>
      </w:r>
      <w:r>
        <w:rPr>
          <w:rFonts w:hint="eastAsia" w:hAnsi="Arial" w:eastAsia="MS PGothic"/>
          <w:color w:val="000000"/>
        </w:rPr>
        <w:t>Wuhan, China</w:t>
      </w:r>
    </w:p>
    <w:p>
      <w:pPr>
        <w:jc w:val="center"/>
        <w:rPr>
          <w:color w:val="0000FF"/>
          <w:sz w:val="36"/>
          <w:szCs w:val="36"/>
        </w:rPr>
      </w:pPr>
    </w:p>
    <w:p>
      <w:pPr>
        <w:pStyle w:val="2"/>
        <w:spacing w:before="147"/>
        <w:ind w:left="0" w:leftChars="0" w:firstLine="0" w:firstLineChars="0"/>
        <w:jc w:val="both"/>
        <w:rPr>
          <w:sz w:val="24"/>
        </w:rPr>
      </w:pPr>
      <w:r>
        <w:rPr>
          <w:color w:val="BF5A14"/>
          <w:sz w:val="24"/>
        </w:rPr>
        <w:t>Abstract (250-300 word limit)</w:t>
      </w:r>
    </w:p>
    <w:p>
      <w:pPr>
        <w:jc w:val="both"/>
        <w:rPr>
          <w:rFonts w:eastAsia="MS PGothic"/>
          <w:color w:val="000000"/>
          <w:szCs w:val="32"/>
        </w:rPr>
      </w:pPr>
      <w:r>
        <w:rPr>
          <w:rFonts w:eastAsia="MS PGothic"/>
          <w:color w:val="000000"/>
          <w:szCs w:val="32"/>
        </w:rPr>
        <w:br w:type="textWrapping"/>
      </w:r>
      <w:r>
        <w:rPr>
          <w:rFonts w:hint="eastAsia" w:eastAsia="MS PGothic"/>
          <w:b/>
          <w:bCs/>
          <w:color w:val="000000"/>
          <w:szCs w:val="32"/>
        </w:rPr>
        <w:t>Objective</w:t>
      </w:r>
      <w:r>
        <w:rPr>
          <w:rFonts w:hint="eastAsia" w:eastAsia="MS PGothic"/>
          <w:color w:val="000000"/>
          <w:szCs w:val="32"/>
        </w:rPr>
        <w:t>: The meta-analysis was used to evaluate the skeletal-related events (SREs) and efficacy of denosumab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>versus zoledronic acid (ZA) in patients with bone metastases.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b/>
          <w:bCs/>
          <w:color w:val="000000"/>
          <w:szCs w:val="32"/>
        </w:rPr>
        <w:t>Methods</w:t>
      </w:r>
      <w:r>
        <w:rPr>
          <w:rFonts w:hint="eastAsia" w:eastAsia="MS PGothic"/>
          <w:color w:val="000000"/>
          <w:szCs w:val="32"/>
        </w:rPr>
        <w:t>: The data of this meta-analysis study were searched from PUBMED, EMBASE, Cochrane Library, Web of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>Science with Conference Proceedings, Elsevier and China National Knowledge Infrastructure (CNKI) databases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>till August 2017. Two independent reviewers reviewed the reference lists of relevant articles. The fixed-effects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>model and random-effects model were used to summarize relative estimates and 95% confidence intervals (CIs)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>according to the heterogeneity of the included studies.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b/>
          <w:bCs/>
          <w:color w:val="000000"/>
          <w:szCs w:val="32"/>
        </w:rPr>
        <w:t>Results</w:t>
      </w:r>
      <w:r>
        <w:rPr>
          <w:rFonts w:hint="eastAsia" w:eastAsia="MS PGothic"/>
          <w:color w:val="000000"/>
          <w:szCs w:val="32"/>
        </w:rPr>
        <w:t>: Three randomized controlled trials (RCTs) including 4050 patients were identified in this meta-analysis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>study. The pooled analysis showed that denosumab could significantly reduce SREs, series SREs [Odds Ratio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>(OR) = 0.84; 95% CI, 0.74–0.95, I2 = 0%, P = 0.008] in patients with bone metastases as compared with ZA.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>Similar results of spinal cord compression SRE and surgery to bone SRE were obtained with (OR = 0.84; 95% CI,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>0.70–1.01, I2 = 0%, P = 0.07) and (OR = 0.92; 95% CI, 0.78–1.08, I2 = 0%, P = 0.28) separately, radiation to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>bone SRE (OR = 0.72; 95% CI, 0.46–1.10, I2 = 11%, P = 0.13) and pathological fracture SRE (OR = 0.78; 95%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>CI, 0.35–1.73, I2 = 25%, P = 0.54) showed similar results, there were no significant difference between denosumab and ZA in patients with bone metastases.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bookmarkStart w:id="0" w:name="_GoBack"/>
      <w:r>
        <w:rPr>
          <w:rFonts w:hint="eastAsia" w:eastAsia="MS PGothic"/>
          <w:b/>
          <w:bCs/>
          <w:color w:val="000000"/>
          <w:szCs w:val="32"/>
        </w:rPr>
        <w:t>Conclusion</w:t>
      </w:r>
      <w:bookmarkEnd w:id="0"/>
      <w:r>
        <w:rPr>
          <w:rFonts w:hint="eastAsia" w:eastAsia="MS PGothic"/>
          <w:color w:val="000000"/>
          <w:szCs w:val="32"/>
        </w:rPr>
        <w:t>: Denosumab was more effective than ZA in reducing the incidence of SRE in patients with bone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>metastases.</w:t>
      </w:r>
    </w:p>
    <w:p>
      <w:pPr>
        <w:jc w:val="both"/>
        <w:rPr>
          <w:color w:val="000000"/>
          <w:sz w:val="32"/>
        </w:rPr>
      </w:pPr>
    </w:p>
    <w:p>
      <w:pPr>
        <w:jc w:val="both"/>
        <w:rPr>
          <w:rFonts w:ascii="Arial" w:hAnsi="Arial" w:eastAsia="Arial" w:cs="Arial"/>
          <w:b/>
          <w:bCs/>
          <w:color w:val="BF5A14"/>
          <w:szCs w:val="20"/>
          <w:lang w:eastAsia="en-US"/>
        </w:rPr>
      </w:pPr>
      <w:r>
        <w:rPr>
          <w:rFonts w:ascii="Arial" w:hAnsi="Arial" w:eastAsia="Arial" w:cs="Arial"/>
          <w:b/>
          <w:bCs/>
          <w:color w:val="BF5A14"/>
          <w:szCs w:val="20"/>
          <w:lang w:eastAsia="en-US"/>
        </w:rPr>
        <w:t>Biography (100-150 word limit)</w:t>
      </w:r>
    </w:p>
    <w:p>
      <w:pPr>
        <w:jc w:val="both"/>
      </w:pPr>
      <w:r>
        <w:br w:type="textWrapping"/>
      </w:r>
      <w:r>
        <w:rPr>
          <w:rFonts w:hint="eastAsia" w:eastAsia="宋体"/>
          <w:lang w:val="en-US" w:eastAsia="zh-CN"/>
        </w:rPr>
        <w:t>Doctor</w:t>
      </w:r>
      <w:r>
        <w:t xml:space="preserve"> </w:t>
      </w:r>
      <w:r>
        <w:rPr>
          <w:rFonts w:hint="eastAsia" w:eastAsia="宋体"/>
          <w:lang w:val="en-US" w:eastAsia="zh-CN"/>
        </w:rPr>
        <w:t>Feifei Pu</w:t>
      </w:r>
      <w:r>
        <w:t xml:space="preserve"> has studied </w:t>
      </w:r>
      <w:r>
        <w:rPr>
          <w:rFonts w:hint="eastAsia" w:eastAsia="宋体"/>
          <w:lang w:val="en-US" w:eastAsia="zh-CN"/>
        </w:rPr>
        <w:t>bone</w:t>
      </w:r>
      <w:r>
        <w:t xml:space="preserve"> tumor molecular biology and therapeutics for </w:t>
      </w:r>
      <w:r>
        <w:rPr>
          <w:rFonts w:hint="eastAsia" w:eastAsia="宋体"/>
          <w:lang w:val="en-US" w:eastAsia="zh-CN"/>
        </w:rPr>
        <w:t>6</w:t>
      </w:r>
      <w:r>
        <w:t xml:space="preserve"> years, during which time he has authored more than </w:t>
      </w:r>
      <w:r>
        <w:rPr>
          <w:rFonts w:hint="eastAsia" w:eastAsia="宋体"/>
          <w:lang w:val="en-US" w:eastAsia="zh-CN"/>
        </w:rPr>
        <w:t>30</w:t>
      </w:r>
      <w:r>
        <w:t xml:space="preserve"> peer-reviewed reports. He has served on the editorial boards for the </w:t>
      </w:r>
      <w:r>
        <w:rPr>
          <w:rFonts w:hint="default" w:ascii="Times New Roman" w:hAnsi="Times New Roman" w:eastAsia="楷体_GB2312" w:cs="Times New Roman"/>
          <w:i/>
          <w:iCs/>
          <w:color w:val="000000"/>
        </w:rPr>
        <w:t>Gavin of Orthopedic Research and Therapy</w:t>
      </w:r>
      <w:r>
        <w:t xml:space="preserve">, </w:t>
      </w:r>
      <w:r>
        <w:rPr>
          <w:rFonts w:hint="default" w:ascii="Times New Roman" w:hAnsi="Times New Roman" w:eastAsia="楷体_GB2312" w:cs="Times New Roman"/>
          <w:i/>
          <w:iCs/>
          <w:color w:val="000000"/>
        </w:rPr>
        <w:t>Journal of Medical and Clinical Oncology</w:t>
      </w:r>
      <w:r>
        <w:rPr>
          <w:i/>
          <w:iCs/>
        </w:rPr>
        <w:t>y</w:t>
      </w:r>
      <w:r>
        <w:t xml:space="preserve">, </w:t>
      </w:r>
      <w:r>
        <w:rPr>
          <w:rFonts w:hint="default" w:ascii="Times New Roman" w:hAnsi="Times New Roman" w:eastAsia="楷体_GB2312" w:cs="Times New Roman"/>
          <w:i/>
          <w:iCs/>
          <w:color w:val="000000"/>
        </w:rPr>
        <w:t>Global Journal of Health Science and Nursing</w:t>
      </w:r>
      <w:r>
        <w:rPr>
          <w:rFonts w:hint="eastAsia" w:eastAsia="楷体_GB2312" w:cs="Times New Roman"/>
          <w:color w:val="000000"/>
          <w:lang w:val="en-US" w:eastAsia="zh-CN"/>
        </w:rPr>
        <w:t xml:space="preserve">, </w:t>
      </w:r>
      <w:r>
        <w:t xml:space="preserve">and the </w:t>
      </w:r>
      <w:r>
        <w:rPr>
          <w:rFonts w:hint="default" w:ascii="Times New Roman" w:hAnsi="Times New Roman" w:cs="Times New Roman"/>
          <w:i/>
          <w:iCs/>
          <w:color w:val="000000"/>
          <w:szCs w:val="21"/>
        </w:rPr>
        <w:t>International Journal of Carcinogenesis and Mutagenesis</w:t>
      </w:r>
      <w:r>
        <w:t xml:space="preserve">. </w:t>
      </w:r>
      <w:r>
        <w:rPr>
          <w:rFonts w:hint="eastAsia" w:eastAsia="宋体"/>
          <w:lang w:val="en-US" w:eastAsia="zh-CN"/>
        </w:rPr>
        <w:t xml:space="preserve">He has peer-reviewed reports for </w:t>
      </w:r>
      <w:r>
        <w:rPr>
          <w:rFonts w:hint="eastAsia" w:eastAsia="宋体"/>
          <w:i/>
          <w:iCs/>
          <w:lang w:val="en-US" w:eastAsia="zh-CN"/>
        </w:rPr>
        <w:t>Oncotarget</w:t>
      </w:r>
      <w:r>
        <w:rPr>
          <w:rFonts w:hint="eastAsia" w:eastAsia="宋体"/>
          <w:lang w:val="en-US" w:eastAsia="zh-CN"/>
        </w:rPr>
        <w:t xml:space="preserve">, </w:t>
      </w:r>
      <w:r>
        <w:rPr>
          <w:rFonts w:hint="eastAsia" w:eastAsia="宋体"/>
          <w:i/>
          <w:iCs/>
          <w:lang w:val="en-US" w:eastAsia="zh-CN"/>
        </w:rPr>
        <w:t>Int Orthop</w:t>
      </w:r>
      <w:r>
        <w:rPr>
          <w:rFonts w:hint="eastAsia" w:eastAsia="宋体"/>
          <w:lang w:val="en-US" w:eastAsia="zh-CN"/>
        </w:rPr>
        <w:t xml:space="preserve">, </w:t>
      </w:r>
      <w:r>
        <w:rPr>
          <w:rFonts w:hint="eastAsia" w:eastAsia="宋体"/>
          <w:i/>
          <w:iCs/>
          <w:lang w:val="en-US" w:eastAsia="zh-CN"/>
        </w:rPr>
        <w:t>Tumor Biol</w:t>
      </w:r>
      <w:r>
        <w:rPr>
          <w:rFonts w:hint="eastAsia" w:eastAsia="宋体"/>
          <w:lang w:val="en-US" w:eastAsia="zh-CN"/>
        </w:rPr>
        <w:t xml:space="preserve">, </w:t>
      </w:r>
      <w:r>
        <w:rPr>
          <w:rFonts w:hint="eastAsia" w:eastAsia="宋体"/>
          <w:i/>
          <w:iCs/>
          <w:lang w:val="en-US" w:eastAsia="zh-CN"/>
        </w:rPr>
        <w:t>Biomed Res Int</w:t>
      </w:r>
      <w:r>
        <w:rPr>
          <w:rFonts w:hint="eastAsia" w:eastAsia="宋体"/>
          <w:lang w:val="en-US" w:eastAsia="zh-CN"/>
        </w:rPr>
        <w:t xml:space="preserve">, </w:t>
      </w:r>
      <w:r>
        <w:rPr>
          <w:rFonts w:hint="eastAsia" w:eastAsia="宋体"/>
          <w:i/>
          <w:iCs/>
          <w:lang w:val="en-US" w:eastAsia="zh-CN"/>
        </w:rPr>
        <w:t>Onco Targets Ther</w:t>
      </w:r>
      <w:r>
        <w:rPr>
          <w:rFonts w:hint="eastAsia" w:eastAsia="宋体"/>
          <w:lang w:val="en-US" w:eastAsia="zh-CN"/>
        </w:rPr>
        <w:t xml:space="preserve">, </w:t>
      </w:r>
      <w:r>
        <w:rPr>
          <w:rFonts w:hint="eastAsia" w:eastAsia="宋体"/>
          <w:i/>
          <w:iCs/>
          <w:lang w:val="en-US" w:eastAsia="zh-CN"/>
        </w:rPr>
        <w:t>Curr Cpmput-Aid Drug</w:t>
      </w:r>
      <w:r>
        <w:rPr>
          <w:rFonts w:hint="eastAsia" w:eastAsia="宋体"/>
          <w:lang w:val="en-US" w:eastAsia="zh-CN"/>
        </w:rPr>
        <w:t xml:space="preserve">, </w:t>
      </w:r>
      <w:r>
        <w:rPr>
          <w:rFonts w:hint="eastAsia" w:eastAsia="宋体"/>
          <w:i/>
          <w:iCs/>
          <w:lang w:val="en-US" w:eastAsia="zh-CN"/>
        </w:rPr>
        <w:t>Orthopedics-Remedy</w:t>
      </w:r>
      <w:r>
        <w:rPr>
          <w:rFonts w:hint="eastAsia" w:eastAsia="宋体"/>
          <w:lang w:val="en-US" w:eastAsia="zh-CN"/>
        </w:rPr>
        <w:t xml:space="preserve">, and </w:t>
      </w:r>
      <w:r>
        <w:rPr>
          <w:rFonts w:hint="eastAsia" w:eastAsia="宋体"/>
          <w:i/>
          <w:iCs/>
          <w:lang w:val="en-US" w:eastAsia="zh-CN"/>
        </w:rPr>
        <w:t>JSM Bone Marrow Research</w:t>
      </w:r>
      <w:r>
        <w:rPr>
          <w:rFonts w:hint="eastAsia" w:eastAsia="宋体"/>
          <w:lang w:val="en-US" w:eastAsia="zh-CN"/>
        </w:rPr>
        <w:t xml:space="preserve">. </w:t>
      </w:r>
      <w:r>
        <w:t xml:space="preserve">Dr. </w:t>
      </w:r>
      <w:r>
        <w:rPr>
          <w:rFonts w:hint="eastAsia" w:eastAsia="宋体"/>
          <w:lang w:val="en-US" w:eastAsia="zh-CN"/>
        </w:rPr>
        <w:t>Feifei Pu</w:t>
      </w:r>
      <w:r>
        <w:t xml:space="preserve"> is a member of </w:t>
      </w:r>
      <w:r>
        <w:rPr>
          <w:rFonts w:hint="default" w:ascii="Times New Roman" w:hAnsi="Times New Roman" w:eastAsia="楷体_GB2312" w:cs="Times New Roman"/>
          <w:color w:val="000000"/>
          <w:lang w:eastAsia="zh-CN"/>
        </w:rPr>
        <w:t>China Association of Traditional Chinese Medicine</w:t>
      </w:r>
      <w:r>
        <w:rPr>
          <w:rFonts w:hint="eastAsia" w:eastAsia="楷体_GB2312" w:cs="Times New Roman"/>
          <w:color w:val="000000"/>
          <w:lang w:val="en-US" w:eastAsia="zh-CN"/>
        </w:rPr>
        <w:t xml:space="preserve">, </w:t>
      </w:r>
      <w:r>
        <w:rPr>
          <w:rFonts w:hint="default" w:ascii="Times New Roman" w:hAnsi="Times New Roman" w:eastAsia="楷体_GB2312" w:cs="Times New Roman"/>
          <w:color w:val="000000"/>
          <w:lang w:eastAsia="zh-CN"/>
        </w:rPr>
        <w:t>Chinese Research Hospital Association</w:t>
      </w:r>
      <w:r>
        <w:t xml:space="preserve"> and </w:t>
      </w:r>
      <w:r>
        <w:rPr>
          <w:rFonts w:hint="default" w:ascii="Times New Roman" w:hAnsi="Times New Roman" w:eastAsia="楷体_GB2312" w:cs="Times New Roman"/>
          <w:color w:val="000000"/>
          <w:lang w:eastAsia="zh-CN"/>
        </w:rPr>
        <w:t>T</w:t>
      </w:r>
      <w:r>
        <w:rPr>
          <w:rFonts w:hint="default" w:ascii="Times New Roman" w:hAnsi="Times New Roman" w:eastAsia="楷体_GB2312" w:cs="Times New Roman"/>
          <w:color w:val="000000"/>
        </w:rPr>
        <w:t>he International Society for Chinese bone Research International Chinese Musculoskeletal Research Society</w:t>
      </w:r>
      <w:r>
        <w:t>.</w:t>
      </w:r>
    </w:p>
    <w:p>
      <w:pPr>
        <w:jc w:val="both"/>
        <w:rPr>
          <w:lang w:eastAsia="en-US"/>
        </w:rPr>
      </w:pPr>
      <w:r>
        <w:br w:type="textWrapping"/>
      </w:r>
      <w:r>
        <w:rPr>
          <w:lang w:eastAsia="en-US"/>
        </w:rPr>
        <w:drawing>
          <wp:inline distT="0" distB="0" distL="114300" distR="114300">
            <wp:extent cx="1280160" cy="1828800"/>
            <wp:effectExtent l="0" t="0" r="15240" b="0"/>
            <wp:docPr id="1" name="图片 1" descr="浦飞飞登记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浦飞飞登记照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both"/>
        <w:rPr>
          <w:lang w:eastAsia="en-US"/>
        </w:rPr>
      </w:pPr>
    </w:p>
    <w:p>
      <w:pPr>
        <w:jc w:val="both"/>
        <w:rPr>
          <w:lang w:eastAsia="en-US"/>
        </w:rPr>
      </w:pPr>
    </w:p>
    <w:p>
      <w:pPr>
        <w:jc w:val="both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Feifei Pu</w:t>
      </w:r>
    </w:p>
    <w:p>
      <w:pPr>
        <w:jc w:val="both"/>
      </w:pPr>
      <w:r>
        <w:t xml:space="preserve">Phone No: </w:t>
      </w:r>
      <w:r>
        <w:rPr>
          <w:rFonts w:hint="eastAsia" w:eastAsia="宋体"/>
          <w:lang w:val="en-US" w:eastAsia="zh-CN"/>
        </w:rPr>
        <w:t>86</w:t>
      </w:r>
      <w:r>
        <w:t>-</w:t>
      </w:r>
      <w:r>
        <w:rPr>
          <w:rFonts w:hint="eastAsia" w:eastAsia="宋体"/>
          <w:lang w:val="en-US" w:eastAsia="zh-CN"/>
        </w:rPr>
        <w:t>27</w:t>
      </w:r>
      <w:r>
        <w:t>-</w:t>
      </w:r>
      <w:r>
        <w:rPr>
          <w:rFonts w:hint="eastAsia" w:eastAsia="宋体"/>
          <w:lang w:val="en-US" w:eastAsia="zh-CN"/>
        </w:rPr>
        <w:t>85332776</w:t>
      </w:r>
    </w:p>
    <w:p>
      <w:pPr>
        <w:jc w:val="both"/>
      </w:pPr>
      <w:r>
        <w:rPr>
          <w:rFonts w:hint="eastAsia" w:eastAsia="宋体"/>
          <w:lang w:val="en-US" w:eastAsia="zh-CN"/>
        </w:rPr>
        <w:t>Cancer therapy and treatment</w:t>
      </w:r>
      <w:r>
        <w:t>/</w:t>
      </w:r>
      <w:r>
        <w:rPr>
          <w:rFonts w:hint="eastAsia" w:eastAsia="宋体"/>
          <w:lang w:val="en-US" w:eastAsia="zh-CN"/>
        </w:rPr>
        <w:t>11-1</w:t>
      </w:r>
    </w:p>
    <w:p>
      <w:pPr>
        <w:jc w:val="both"/>
      </w:pPr>
      <w:r>
        <w:t>Category: (Oral presentation)</w:t>
      </w:r>
    </w:p>
    <w:p>
      <w:pPr>
        <w:jc w:val="both"/>
        <w:rPr>
          <w:rFonts w:hint="eastAsia" w:eastAsia="宋体"/>
          <w:lang w:val="en-US" w:eastAsia="zh-CN"/>
        </w:rPr>
      </w:pPr>
      <w:r>
        <w:t xml:space="preserve">Email: </w:t>
      </w:r>
      <w:r>
        <w:rPr>
          <w:rFonts w:hint="eastAsia" w:eastAsia="宋体"/>
          <w:lang w:val="en-US" w:eastAsia="zh-CN"/>
        </w:rPr>
        <w:fldChar w:fldCharType="begin"/>
      </w:r>
      <w:r>
        <w:rPr>
          <w:rFonts w:hint="eastAsia" w:eastAsia="宋体"/>
          <w:lang w:val="en-US" w:eastAsia="zh-CN"/>
        </w:rPr>
        <w:instrText xml:space="preserve"> HYPERLINK "mailto:pufeifeiemail@163.com" </w:instrText>
      </w:r>
      <w:r>
        <w:rPr>
          <w:rFonts w:hint="eastAsia" w:eastAsia="宋体"/>
          <w:lang w:val="en-US" w:eastAsia="zh-CN"/>
        </w:rPr>
        <w:fldChar w:fldCharType="separate"/>
      </w:r>
      <w:r>
        <w:rPr>
          <w:rStyle w:val="5"/>
          <w:rFonts w:hint="eastAsia" w:eastAsia="宋体"/>
          <w:lang w:val="en-US" w:eastAsia="zh-CN"/>
        </w:rPr>
        <w:t>pufeifeiemail@163.com</w:t>
      </w:r>
      <w:r>
        <w:rPr>
          <w:rFonts w:hint="eastAsia" w:eastAsia="宋体"/>
          <w:lang w:val="en-US" w:eastAsia="zh-CN"/>
        </w:rPr>
        <w:fldChar w:fldCharType="end"/>
      </w:r>
    </w:p>
    <w:p>
      <w:pPr>
        <w:jc w:val="both"/>
      </w:pPr>
      <w:r>
        <w:t xml:space="preserve"> </w:t>
      </w:r>
    </w:p>
    <w:p/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Batang">
    <w:altName w:val="Malgun Gothic"/>
    <w:panose1 w:val="02030600000101010101"/>
    <w:charset w:val="81"/>
    <w:family w:val="roman"/>
    <w:pitch w:val="default"/>
    <w:sig w:usb0="00000000" w:usb1="00000000" w:usb2="00000030" w:usb3="00000000" w:csb0="000800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Univers-Black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Univer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nion Pro">
    <w:altName w:val="Cambria Math"/>
    <w:panose1 w:val="00000000000000000000"/>
    <w:charset w:val="00"/>
    <w:family w:val="roman"/>
    <w:pitch w:val="default"/>
    <w:sig w:usb0="00000000" w:usb1="00000000" w:usb2="00000000" w:usb3="00000000" w:csb0="0000019F" w:csb1="00000000"/>
  </w:font>
  <w:font w:name="MS PGothic">
    <w:panose1 w:val="020B0600070205080204"/>
    <w:charset w:val="80"/>
    <w:family w:val="swiss"/>
    <w:pitch w:val="default"/>
    <w:sig w:usb0="E00002FF" w:usb1="6AC7FDFB" w:usb2="08000012" w:usb3="00000000" w:csb0="4002009F" w:csb1="DFD7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dvOT596495f2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dvOT7fb33346 . 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dvOT596495f2 + fb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dvOT596495f2 + 20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B8F"/>
    <w:rsid w:val="001B7A71"/>
    <w:rsid w:val="004A1E4E"/>
    <w:rsid w:val="008D31F4"/>
    <w:rsid w:val="00B84B8F"/>
    <w:rsid w:val="00E5158C"/>
    <w:rsid w:val="01CB3F1C"/>
    <w:rsid w:val="146F786D"/>
    <w:rsid w:val="1BDC723B"/>
    <w:rsid w:val="1E6A58FB"/>
    <w:rsid w:val="29F63473"/>
    <w:rsid w:val="2FF05B63"/>
    <w:rsid w:val="32B27649"/>
    <w:rsid w:val="32FB6B75"/>
    <w:rsid w:val="4E6A0933"/>
    <w:rsid w:val="521B0EDF"/>
    <w:rsid w:val="58D30761"/>
    <w:rsid w:val="5F0A5E09"/>
    <w:rsid w:val="721E4986"/>
    <w:rsid w:val="72977261"/>
    <w:rsid w:val="750E633C"/>
    <w:rsid w:val="786610D1"/>
    <w:rsid w:val="7D0702D3"/>
    <w:rsid w:val="7F5E3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1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Batang" w:cs="Times New Roman"/>
      <w:sz w:val="24"/>
      <w:szCs w:val="24"/>
      <w:lang w:val="en-US" w:eastAsia="ko-KR" w:bidi="ar-SA"/>
    </w:rPr>
  </w:style>
  <w:style w:type="paragraph" w:styleId="2">
    <w:name w:val="heading 3"/>
    <w:basedOn w:val="1"/>
    <w:next w:val="1"/>
    <w:link w:val="7"/>
    <w:qFormat/>
    <w:uiPriority w:val="1"/>
    <w:pPr>
      <w:widowControl w:val="0"/>
      <w:ind w:left="100"/>
      <w:outlineLvl w:val="2"/>
    </w:pPr>
    <w:rPr>
      <w:rFonts w:ascii="Arial" w:hAnsi="Arial" w:eastAsia="Arial" w:cs="Arial"/>
      <w:b/>
      <w:bCs/>
      <w:sz w:val="20"/>
      <w:szCs w:val="20"/>
      <w:lang w:eastAsia="en-US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8"/>
    <w:semiHidden/>
    <w:unhideWhenUsed/>
    <w:qFormat/>
    <w:uiPriority w:val="99"/>
    <w:rPr>
      <w:rFonts w:ascii="Tahoma" w:hAnsi="Tahoma" w:cs="Tahoma"/>
      <w:sz w:val="16"/>
      <w:szCs w:val="16"/>
    </w:rPr>
  </w:style>
  <w:style w:type="character" w:styleId="5">
    <w:name w:val="Hyperlink"/>
    <w:qFormat/>
    <w:uiPriority w:val="0"/>
    <w:rPr>
      <w:color w:val="0000FF"/>
      <w:u w:val="single"/>
    </w:rPr>
  </w:style>
  <w:style w:type="character" w:customStyle="1" w:styleId="7">
    <w:name w:val="Heading 3 Char"/>
    <w:basedOn w:val="4"/>
    <w:link w:val="2"/>
    <w:qFormat/>
    <w:uiPriority w:val="1"/>
    <w:rPr>
      <w:rFonts w:ascii="Arial" w:hAnsi="Arial" w:eastAsia="Arial" w:cs="Arial"/>
      <w:b/>
      <w:bCs/>
      <w:sz w:val="20"/>
      <w:szCs w:val="20"/>
      <w:lang w:val="en-US"/>
    </w:rPr>
  </w:style>
  <w:style w:type="character" w:customStyle="1" w:styleId="8">
    <w:name w:val="Balloon Text Char"/>
    <w:basedOn w:val="4"/>
    <w:link w:val="3"/>
    <w:semiHidden/>
    <w:qFormat/>
    <w:uiPriority w:val="99"/>
    <w:rPr>
      <w:rFonts w:ascii="Tahoma" w:hAnsi="Tahoma" w:eastAsia="Batang" w:cs="Tahoma"/>
      <w:sz w:val="16"/>
      <w:szCs w:val="16"/>
      <w:lang w:val="en-US" w:eastAsia="ko-KR"/>
    </w:rPr>
  </w:style>
  <w:style w:type="character" w:customStyle="1" w:styleId="9">
    <w:name w:val="fontstyle01"/>
    <w:basedOn w:val="4"/>
    <w:qFormat/>
    <w:uiPriority w:val="0"/>
    <w:rPr>
      <w:rFonts w:ascii="Univers-Black" w:hAnsi="Univers-Black" w:eastAsia="Univers-Black" w:cs="Univers-Black"/>
      <w:b/>
      <w:color w:val="231F20"/>
      <w:sz w:val="40"/>
      <w:szCs w:val="40"/>
    </w:rPr>
  </w:style>
  <w:style w:type="character" w:customStyle="1" w:styleId="10">
    <w:name w:val="fontstyle21"/>
    <w:basedOn w:val="4"/>
    <w:qFormat/>
    <w:uiPriority w:val="0"/>
    <w:rPr>
      <w:rFonts w:ascii="Univers" w:hAnsi="Univers" w:eastAsia="Univers" w:cs="Univers"/>
      <w:color w:val="231F20"/>
      <w:sz w:val="20"/>
      <w:szCs w:val="20"/>
    </w:rPr>
  </w:style>
  <w:style w:type="character" w:customStyle="1" w:styleId="11">
    <w:name w:val="fontstyle31"/>
    <w:basedOn w:val="4"/>
    <w:uiPriority w:val="0"/>
    <w:rPr>
      <w:rFonts w:ascii="AdvOT596495f2 + fb" w:hAnsi="AdvOT596495f2 + fb" w:eastAsia="AdvOT596495f2 + fb" w:cs="AdvOT596495f2 + fb"/>
      <w:color w:val="000000"/>
      <w:sz w:val="14"/>
      <w:szCs w:val="14"/>
    </w:rPr>
  </w:style>
  <w:style w:type="character" w:customStyle="1" w:styleId="12">
    <w:name w:val="fontstyle41"/>
    <w:basedOn w:val="4"/>
    <w:uiPriority w:val="0"/>
    <w:rPr>
      <w:rFonts w:ascii="AdvOT596495f2 + 20" w:hAnsi="AdvOT596495f2 + 20" w:eastAsia="AdvOT596495f2 + 20" w:cs="AdvOT596495f2 + 20"/>
      <w:color w:val="000000"/>
      <w:sz w:val="14"/>
      <w:szCs w:val="1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287</Words>
  <Characters>1638</Characters>
  <Lines>13</Lines>
  <Paragraphs>3</Paragraphs>
  <ScaleCrop>false</ScaleCrop>
  <LinksUpToDate>false</LinksUpToDate>
  <CharactersWithSpaces>1922</CharactersWithSpaces>
  <Application>WPS Office_10.1.0.7224_F1E327BC-269C-435d-A152-05C5408002CA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2017-09-26T07:19:00Z</dcterms:created>
  <dc:creator>Tirupathi Raju chilakalapudi</dc:creator>
  <cp:lastModifiedBy>Thinkpad</cp:lastModifiedBy>
  <dcterms:modified xsi:type="dcterms:W3CDTF">2018-04-18T07:30:10Z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