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</w:pPr>
      <w:r>
        <w:rPr>
          <w:rFonts w:hint="eastAsia"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>The synergistic anticancer effect of cisplatin</w:t>
      </w:r>
      <w:r>
        <w:rPr>
          <w:rFonts w:hint="eastAsia" w:ascii="Minion Pro" w:hAnsi="Minion Pro" w:eastAsia="宋体" w:cs="Minion Pro"/>
          <w:b/>
          <w:bCs/>
          <w:color w:val="337AB7"/>
          <w:sz w:val="30"/>
          <w:szCs w:val="36"/>
          <w:lang w:val="en-US" w:eastAsia="zh-CN"/>
        </w:rPr>
        <w:t xml:space="preserve"> </w:t>
      </w:r>
      <w:r>
        <w:rPr>
          <w:rFonts w:hint="eastAsia"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 xml:space="preserve">combined with </w:t>
      </w:r>
      <w:r>
        <w:rPr>
          <w:rFonts w:hint="eastAsia" w:ascii="Minion Pro" w:hAnsi="Minion Pro" w:eastAsia="Minion Pro" w:cs="Minion Pro"/>
          <w:b/>
          <w:bCs/>
          <w:i/>
          <w:iCs/>
          <w:color w:val="337AB7"/>
          <w:sz w:val="30"/>
          <w:szCs w:val="36"/>
          <w:lang w:eastAsia="en-US"/>
        </w:rPr>
        <w:t xml:space="preserve">Oldenlandia diffusa </w:t>
      </w:r>
      <w:r>
        <w:rPr>
          <w:rFonts w:hint="eastAsia"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>in osteosarcoma</w:t>
      </w:r>
      <w:r>
        <w:rPr>
          <w:rFonts w:hint="eastAsia" w:ascii="Minion Pro" w:hAnsi="Minion Pro" w:eastAsia="宋体" w:cs="Minion Pro"/>
          <w:b/>
          <w:bCs/>
          <w:color w:val="337AB7"/>
          <w:sz w:val="30"/>
          <w:szCs w:val="36"/>
          <w:lang w:val="en-US" w:eastAsia="zh-CN"/>
        </w:rPr>
        <w:t xml:space="preserve"> </w:t>
      </w:r>
      <w:r>
        <w:rPr>
          <w:rFonts w:hint="eastAsia"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>M</w:t>
      </w:r>
      <w:r>
        <w:rPr>
          <w:rFonts w:hint="eastAsia" w:ascii="Minion Pro" w:hAnsi="Minion Pro" w:eastAsia="宋体" w:cs="Minion Pro"/>
          <w:b/>
          <w:bCs/>
          <w:color w:val="337AB7"/>
          <w:sz w:val="30"/>
          <w:szCs w:val="36"/>
          <w:lang w:val="en-US" w:eastAsia="zh-CN"/>
        </w:rPr>
        <w:t>G</w:t>
      </w:r>
      <w:r>
        <w:rPr>
          <w:rFonts w:hint="eastAsia"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>-63 cell line in vitro</w:t>
      </w:r>
    </w:p>
    <w:p>
      <w:pPr>
        <w:jc w:val="center"/>
        <w:rPr>
          <w:rFonts w:hAnsi="Arial" w:eastAsia="MS PGothic"/>
          <w:color w:val="000000"/>
        </w:rPr>
      </w:pPr>
      <w:r>
        <w:rPr>
          <w:rFonts w:hAnsi="Arial" w:eastAsia="MS PGothic"/>
          <w:color w:val="000000"/>
        </w:rPr>
        <w:br w:type="textWrapping"/>
      </w:r>
      <w:r>
        <w:rPr>
          <w:rFonts w:hint="eastAsia" w:hAnsi="Arial" w:eastAsia="宋体"/>
          <w:color w:val="000000"/>
          <w:lang w:val="en-US" w:eastAsia="zh-CN"/>
        </w:rPr>
        <w:t>Feifei Pu, Jing Feng, Ping Xia</w:t>
      </w:r>
    </w:p>
    <w:p>
      <w:pPr>
        <w:jc w:val="center"/>
        <w:rPr>
          <w:rFonts w:hAnsi="Arial" w:eastAsia="MS PGothic"/>
          <w:color w:val="000000"/>
        </w:rPr>
      </w:pPr>
      <w:r>
        <w:rPr>
          <w:rFonts w:hint="eastAsia" w:hAnsi="Arial" w:eastAsia="MS PGothic"/>
          <w:color w:val="000000"/>
        </w:rPr>
        <w:t xml:space="preserve">Department of Orthopedics, </w:t>
      </w:r>
      <w:r>
        <w:rPr>
          <w:rFonts w:hint="eastAsia" w:hAnsi="Arial" w:eastAsia="宋体"/>
          <w:color w:val="000000"/>
          <w:lang w:val="en-US" w:eastAsia="zh-CN"/>
        </w:rPr>
        <w:t>Wuhan No.1</w:t>
      </w:r>
      <w:r>
        <w:rPr>
          <w:rFonts w:hint="eastAsia" w:hAnsi="Arial" w:eastAsia="MS PGothic"/>
          <w:color w:val="000000"/>
        </w:rPr>
        <w:t xml:space="preserve"> Hospital, Tongji Medical College, Huazhong University of Science and Technology</w:t>
      </w:r>
      <w:r>
        <w:rPr>
          <w:rFonts w:hAnsi="Arial" w:eastAsia="MS PGothic"/>
          <w:color w:val="000000"/>
        </w:rPr>
        <w:t xml:space="preserve">, </w:t>
      </w:r>
      <w:r>
        <w:rPr>
          <w:rFonts w:hint="eastAsia" w:hAnsi="Arial" w:eastAsia="MS PGothic"/>
          <w:color w:val="000000"/>
        </w:rPr>
        <w:t>Wuhan, China</w:t>
      </w:r>
    </w:p>
    <w:p>
      <w:pPr>
        <w:jc w:val="center"/>
        <w:rPr>
          <w:color w:val="0000FF"/>
          <w:sz w:val="36"/>
          <w:szCs w:val="36"/>
        </w:rPr>
      </w:pPr>
    </w:p>
    <w:p>
      <w:pPr>
        <w:pStyle w:val="2"/>
        <w:spacing w:before="147"/>
        <w:ind w:left="0" w:leftChars="0" w:firstLine="0" w:firstLineChars="0"/>
        <w:jc w:val="both"/>
        <w:rPr>
          <w:sz w:val="24"/>
        </w:rPr>
      </w:pPr>
      <w:r>
        <w:rPr>
          <w:color w:val="BF5A14"/>
          <w:sz w:val="24"/>
        </w:rPr>
        <w:t>Abstract (250-300 word limit)</w:t>
      </w:r>
    </w:p>
    <w:p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br w:type="textWrapping"/>
      </w:r>
      <w:r>
        <w:rPr>
          <w:rFonts w:hint="eastAsia" w:eastAsia="MS PGothic"/>
          <w:b/>
          <w:bCs/>
          <w:color w:val="000000"/>
          <w:szCs w:val="32"/>
        </w:rPr>
        <w:t>Background</w:t>
      </w:r>
      <w:r>
        <w:rPr>
          <w:rFonts w:hint="eastAsia" w:eastAsia="MS PGothic"/>
          <w:color w:val="000000"/>
          <w:szCs w:val="32"/>
        </w:rPr>
        <w:t xml:space="preserve">: </w:t>
      </w:r>
      <w:r>
        <w:rPr>
          <w:rFonts w:hint="eastAsia" w:eastAsia="MS PGothic"/>
          <w:i/>
          <w:iCs/>
          <w:color w:val="000000"/>
          <w:szCs w:val="32"/>
        </w:rPr>
        <w:t>Oldenlandia diffusa</w:t>
      </w:r>
      <w:r>
        <w:rPr>
          <w:rFonts w:hint="eastAsia" w:eastAsia="MS PGothic"/>
          <w:color w:val="000000"/>
          <w:szCs w:val="32"/>
        </w:rPr>
        <w:t xml:space="preserve"> (OD) is a well-known traditional Chinese medicine, which is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used to prevent and treat many disorders, especially cancers. However, its role in osteosarcoma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has not been well understood. Here, we used OD and cisplatin individually and combined in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osteosarcoma MG-63 cell to explore whether OD could induce cellular apoptosis and suppress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the ability of proliferation and invasion of osteosarcoma MG-63 cell.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b/>
          <w:bCs/>
          <w:color w:val="000000"/>
          <w:szCs w:val="32"/>
        </w:rPr>
        <w:t>Methods</w:t>
      </w:r>
      <w:r>
        <w:rPr>
          <w:rFonts w:hint="eastAsia" w:eastAsia="MS PGothic"/>
          <w:color w:val="000000"/>
          <w:szCs w:val="32"/>
        </w:rPr>
        <w:t>: The changes of cellular shape were analyzed by optical microscopy.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3-(4,5-Dimethylthiazol-2-yl)-2,5-diphenyltetrazoliumbromide assay was used to analyze cell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survival rate in vitro. Flow cytometry was performed to detect cell cycle and cell death. Scratch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migration assay was used to evaluate cell migration and invasion. Western blot was performed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to determine the expression levels of pro-apoptotic and anti-apoptotic protein.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b/>
          <w:bCs/>
          <w:color w:val="000000"/>
          <w:szCs w:val="32"/>
        </w:rPr>
        <w:t>Results</w:t>
      </w:r>
      <w:r>
        <w:rPr>
          <w:rFonts w:hint="eastAsia" w:eastAsia="MS PGothic"/>
          <w:color w:val="000000"/>
          <w:szCs w:val="32"/>
        </w:rPr>
        <w:t>: In this study, we found that the survival rate reduced signifcantly in the combined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group compared with the individual group and control group. The apoptosis-inducing effect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of combined application was much more signifcant than that of individual application. The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invasion ability of combined application was signifcantly lower than that of the individual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application. In the combined group, there were high expression levels of pro-apoptotic protein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and low expression of anti-apoptotic protein. Cell-cycle analysis showed a change in the cellcycle distribution and arrested cells in G2-M phase.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b/>
          <w:bCs/>
          <w:color w:val="000000"/>
          <w:szCs w:val="32"/>
        </w:rPr>
        <w:t>Conclusion</w:t>
      </w:r>
      <w:r>
        <w:rPr>
          <w:rFonts w:hint="eastAsia" w:eastAsia="MS PGothic"/>
          <w:color w:val="000000"/>
          <w:szCs w:val="32"/>
        </w:rPr>
        <w:t>: In this study, we found that OD inhibited proliferation and induced apoptosis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in the human osteosarcoma MG-63 cell line in a time-dependent and dose-dependent manner.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In addition, OD displayed inhibitory activity on MG-63 cell proliferation and invasion and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the study also showed that OD activity might be mediated by caspase activation. These data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suggest that OD might represent a novel, effcient candidate agent for further experimentation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in osteosarcoma treatment.</w:t>
      </w:r>
    </w:p>
    <w:p>
      <w:pPr>
        <w:jc w:val="both"/>
        <w:rPr>
          <w:color w:val="000000"/>
          <w:sz w:val="32"/>
        </w:rPr>
      </w:pPr>
    </w:p>
    <w:p>
      <w:pPr>
        <w:jc w:val="both"/>
        <w:rPr>
          <w:rFonts w:ascii="Arial" w:hAnsi="Arial" w:eastAsia="Arial" w:cs="Arial"/>
          <w:b/>
          <w:bCs/>
          <w:color w:val="BF5A14"/>
          <w:szCs w:val="20"/>
          <w:lang w:eastAsia="en-US"/>
        </w:rPr>
      </w:pPr>
      <w:r>
        <w:rPr>
          <w:rFonts w:ascii="Arial" w:hAnsi="Arial" w:eastAsia="Arial" w:cs="Arial"/>
          <w:b/>
          <w:bCs/>
          <w:color w:val="BF5A14"/>
          <w:szCs w:val="20"/>
          <w:lang w:eastAsia="en-US"/>
        </w:rPr>
        <w:t>Biography (100-150 word limit)</w:t>
      </w:r>
    </w:p>
    <w:p>
      <w:pPr>
        <w:jc w:val="both"/>
      </w:pPr>
      <w:r>
        <w:br w:type="textWrapping"/>
      </w:r>
      <w:r>
        <w:rPr>
          <w:rFonts w:hint="eastAsia" w:eastAsia="宋体"/>
          <w:lang w:val="en-US" w:eastAsia="zh-CN"/>
        </w:rPr>
        <w:t>Doctor</w:t>
      </w:r>
      <w:r>
        <w:t xml:space="preserve"> </w:t>
      </w:r>
      <w:r>
        <w:rPr>
          <w:rFonts w:hint="eastAsia" w:eastAsia="宋体"/>
          <w:lang w:val="en-US" w:eastAsia="zh-CN"/>
        </w:rPr>
        <w:t>Feifei Pu</w:t>
      </w:r>
      <w:r>
        <w:t xml:space="preserve"> has studied </w:t>
      </w:r>
      <w:r>
        <w:rPr>
          <w:rFonts w:hint="eastAsia" w:eastAsia="宋体"/>
          <w:lang w:val="en-US" w:eastAsia="zh-CN"/>
        </w:rPr>
        <w:t>bone</w:t>
      </w:r>
      <w:r>
        <w:t xml:space="preserve"> tumor molecular biology and therapeutics for </w:t>
      </w:r>
      <w:r>
        <w:rPr>
          <w:rFonts w:hint="eastAsia" w:eastAsia="宋体"/>
          <w:lang w:val="en-US" w:eastAsia="zh-CN"/>
        </w:rPr>
        <w:t>6</w:t>
      </w:r>
      <w:r>
        <w:t xml:space="preserve"> years, during which time he has authored more than </w:t>
      </w:r>
      <w:r>
        <w:rPr>
          <w:rFonts w:hint="eastAsia" w:eastAsia="宋体"/>
          <w:lang w:val="en-US" w:eastAsia="zh-CN"/>
        </w:rPr>
        <w:t>30</w:t>
      </w:r>
      <w:r>
        <w:t xml:space="preserve"> peer-reviewed reports. He has served on the editorial boards for the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Gavin of Orthopedic Research and Therapy</w:t>
      </w:r>
      <w:r>
        <w:t xml:space="preserve">,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Journal of Medical and Clinical Oncology</w:t>
      </w:r>
      <w:r>
        <w:rPr>
          <w:i/>
          <w:iCs/>
        </w:rPr>
        <w:t>y</w:t>
      </w:r>
      <w:r>
        <w:t xml:space="preserve">,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Global Journal of Health Science and Nursing</w:t>
      </w:r>
      <w:r>
        <w:rPr>
          <w:rFonts w:hint="eastAsia" w:eastAsia="楷体_GB2312" w:cs="Times New Roman"/>
          <w:color w:val="000000"/>
          <w:lang w:val="en-US" w:eastAsia="zh-CN"/>
        </w:rPr>
        <w:t xml:space="preserve">, </w:t>
      </w:r>
      <w:r>
        <w:t xml:space="preserve">and the </w:t>
      </w:r>
      <w:r>
        <w:rPr>
          <w:rFonts w:hint="default" w:ascii="Times New Roman" w:hAnsi="Times New Roman" w:cs="Times New Roman"/>
          <w:i/>
          <w:iCs/>
          <w:color w:val="000000"/>
          <w:szCs w:val="21"/>
        </w:rPr>
        <w:t>International Journal of Carcinogenesis and Mutagenesis</w:t>
      </w:r>
      <w:r>
        <w:t xml:space="preserve">. </w:t>
      </w:r>
      <w:r>
        <w:rPr>
          <w:rFonts w:hint="eastAsia" w:eastAsia="宋体"/>
          <w:lang w:val="en-US" w:eastAsia="zh-CN"/>
        </w:rPr>
        <w:t xml:space="preserve">He has peer-reviewed reports for </w:t>
      </w:r>
      <w:r>
        <w:rPr>
          <w:rFonts w:hint="eastAsia" w:eastAsia="宋体"/>
          <w:i/>
          <w:iCs/>
          <w:lang w:val="en-US" w:eastAsia="zh-CN"/>
        </w:rPr>
        <w:t>Oncotarget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Int Orthop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Tumor Biol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Biomed Res Int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Onco Targets Ther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Curr Cpmput-Aid Drug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Orthopedics-Remedy</w:t>
      </w:r>
      <w:r>
        <w:rPr>
          <w:rFonts w:hint="eastAsia" w:eastAsia="宋体"/>
          <w:lang w:val="en-US" w:eastAsia="zh-CN"/>
        </w:rPr>
        <w:t xml:space="preserve">, and </w:t>
      </w:r>
      <w:r>
        <w:rPr>
          <w:rFonts w:hint="eastAsia" w:eastAsia="宋体"/>
          <w:i/>
          <w:iCs/>
          <w:lang w:val="en-US" w:eastAsia="zh-CN"/>
        </w:rPr>
        <w:t>JSM Bone Marrow Research</w:t>
      </w:r>
      <w:r>
        <w:rPr>
          <w:rFonts w:hint="eastAsia" w:eastAsia="宋体"/>
          <w:lang w:val="en-US" w:eastAsia="zh-CN"/>
        </w:rPr>
        <w:t xml:space="preserve">. </w:t>
      </w:r>
      <w:r>
        <w:t xml:space="preserve">Dr. </w:t>
      </w:r>
      <w:r>
        <w:rPr>
          <w:rFonts w:hint="eastAsia" w:eastAsia="宋体"/>
          <w:lang w:val="en-US" w:eastAsia="zh-CN"/>
        </w:rPr>
        <w:t>Feifei Pu</w:t>
      </w:r>
      <w:r>
        <w:t xml:space="preserve"> is a member of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China Association of Traditional Chinese Medicine</w:t>
      </w:r>
      <w:r>
        <w:rPr>
          <w:rFonts w:hint="eastAsia" w:eastAsia="楷体_GB2312" w:cs="Times New Roman"/>
          <w:color w:val="000000"/>
          <w:lang w:val="en-US" w:eastAsia="zh-CN"/>
        </w:rPr>
        <w:t xml:space="preserve">,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Chinese Research Hospital Association</w:t>
      </w:r>
      <w:r>
        <w:t xml:space="preserve"> and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T</w:t>
      </w:r>
      <w:r>
        <w:rPr>
          <w:rFonts w:hint="default" w:ascii="Times New Roman" w:hAnsi="Times New Roman" w:eastAsia="楷体_GB2312" w:cs="Times New Roman"/>
          <w:color w:val="000000"/>
        </w:rPr>
        <w:t>he International Society for Chinese bone Research International Chinese Musculoskeletal Research Society</w:t>
      </w:r>
      <w:r>
        <w:t>.</w:t>
      </w:r>
    </w:p>
    <w:p>
      <w:pPr>
        <w:jc w:val="both"/>
        <w:rPr>
          <w:lang w:eastAsia="en-US"/>
        </w:rPr>
      </w:pPr>
      <w:r>
        <w:br w:type="textWrapping"/>
      </w:r>
      <w:r>
        <w:rPr>
          <w:lang w:eastAsia="en-US"/>
        </w:rPr>
        <w:drawing>
          <wp:inline distT="0" distB="0" distL="114300" distR="114300">
            <wp:extent cx="1280160" cy="1828800"/>
            <wp:effectExtent l="0" t="0" r="15240" b="0"/>
            <wp:docPr id="1" name="图片 1" descr="浦飞飞登记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浦飞飞登记照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lang w:eastAsia="en-US"/>
        </w:rPr>
      </w:pPr>
    </w:p>
    <w:p>
      <w:pPr>
        <w:jc w:val="both"/>
        <w:rPr>
          <w:lang w:eastAsia="en-US"/>
        </w:rPr>
      </w:pPr>
    </w:p>
    <w:p>
      <w:pPr>
        <w:jc w:val="both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Feifei Pu</w:t>
      </w:r>
    </w:p>
    <w:p>
      <w:pPr>
        <w:jc w:val="both"/>
      </w:pPr>
      <w:r>
        <w:t xml:space="preserve">Phone No: </w:t>
      </w:r>
      <w:r>
        <w:rPr>
          <w:rFonts w:hint="eastAsia" w:eastAsia="宋体"/>
          <w:lang w:val="en-US" w:eastAsia="zh-CN"/>
        </w:rPr>
        <w:t>86</w:t>
      </w:r>
      <w:r>
        <w:t>-</w:t>
      </w:r>
      <w:r>
        <w:rPr>
          <w:rFonts w:hint="eastAsia" w:eastAsia="宋体"/>
          <w:lang w:val="en-US" w:eastAsia="zh-CN"/>
        </w:rPr>
        <w:t>27</w:t>
      </w:r>
      <w:r>
        <w:t>-</w:t>
      </w:r>
      <w:r>
        <w:rPr>
          <w:rFonts w:hint="eastAsia" w:eastAsia="宋体"/>
          <w:lang w:val="en-US" w:eastAsia="zh-CN"/>
        </w:rPr>
        <w:t>85332776</w:t>
      </w:r>
    </w:p>
    <w:p>
      <w:pPr>
        <w:jc w:val="both"/>
      </w:pPr>
      <w:r>
        <w:rPr>
          <w:rFonts w:hint="eastAsia" w:eastAsia="宋体"/>
          <w:lang w:val="en-US" w:eastAsia="zh-CN"/>
        </w:rPr>
        <w:t>Cancer therapy and treatment</w:t>
      </w:r>
      <w:r>
        <w:t>/</w:t>
      </w:r>
      <w:r>
        <w:rPr>
          <w:rFonts w:hint="eastAsia" w:eastAsia="宋体"/>
          <w:lang w:val="en-US" w:eastAsia="zh-CN"/>
        </w:rPr>
        <w:t>10-7</w:t>
      </w:r>
    </w:p>
    <w:p>
      <w:pPr>
        <w:jc w:val="both"/>
      </w:pPr>
      <w:r>
        <w:t>Category: (Oral presentation</w:t>
      </w:r>
      <w:bookmarkStart w:id="0" w:name="_GoBack"/>
      <w:bookmarkEnd w:id="0"/>
      <w:r>
        <w:t>)</w:t>
      </w:r>
    </w:p>
    <w:p>
      <w:pPr>
        <w:jc w:val="both"/>
        <w:rPr>
          <w:rFonts w:hint="eastAsia" w:eastAsia="宋体"/>
          <w:lang w:val="en-US" w:eastAsia="zh-CN"/>
        </w:rPr>
      </w:pPr>
      <w:r>
        <w:t xml:space="preserve">Email: </w:t>
      </w:r>
      <w:r>
        <w:rPr>
          <w:rFonts w:hint="eastAsia" w:eastAsia="宋体"/>
          <w:lang w:val="en-US" w:eastAsia="zh-CN"/>
        </w:rPr>
        <w:fldChar w:fldCharType="begin"/>
      </w:r>
      <w:r>
        <w:rPr>
          <w:rFonts w:hint="eastAsia" w:eastAsia="宋体"/>
          <w:lang w:val="en-US" w:eastAsia="zh-CN"/>
        </w:rPr>
        <w:instrText xml:space="preserve"> HYPERLINK "mailto:pufeifeiemail@163.com" </w:instrText>
      </w:r>
      <w:r>
        <w:rPr>
          <w:rFonts w:hint="eastAsia" w:eastAsia="宋体"/>
          <w:lang w:val="en-US" w:eastAsia="zh-CN"/>
        </w:rPr>
        <w:fldChar w:fldCharType="separate"/>
      </w:r>
      <w:r>
        <w:rPr>
          <w:rStyle w:val="5"/>
          <w:rFonts w:hint="eastAsia" w:eastAsia="宋体"/>
          <w:lang w:val="en-US" w:eastAsia="zh-CN"/>
        </w:rPr>
        <w:t>pufeifeiemail@163.com</w:t>
      </w:r>
      <w:r>
        <w:rPr>
          <w:rFonts w:hint="eastAsia" w:eastAsia="宋体"/>
          <w:lang w:val="en-US" w:eastAsia="zh-CN"/>
        </w:rPr>
        <w:fldChar w:fldCharType="end"/>
      </w:r>
    </w:p>
    <w:p>
      <w:pPr>
        <w:jc w:val="both"/>
      </w:pPr>
      <w:r>
        <w:t xml:space="preserve"> </w:t>
      </w:r>
    </w:p>
    <w:p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-Blac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niver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ion Pro">
    <w:altName w:val="Cambria Math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8F"/>
    <w:rsid w:val="001B7A71"/>
    <w:rsid w:val="004A1E4E"/>
    <w:rsid w:val="008D31F4"/>
    <w:rsid w:val="00B84B8F"/>
    <w:rsid w:val="00E5158C"/>
    <w:rsid w:val="0C9D0B7F"/>
    <w:rsid w:val="146F786D"/>
    <w:rsid w:val="1BDC723B"/>
    <w:rsid w:val="1D9A41F7"/>
    <w:rsid w:val="1E6A58FB"/>
    <w:rsid w:val="1F6D669C"/>
    <w:rsid w:val="20ED6055"/>
    <w:rsid w:val="25B357A1"/>
    <w:rsid w:val="2FEB07B7"/>
    <w:rsid w:val="32B27649"/>
    <w:rsid w:val="32FB6B75"/>
    <w:rsid w:val="37AD6430"/>
    <w:rsid w:val="47665DB9"/>
    <w:rsid w:val="4E6A0933"/>
    <w:rsid w:val="521B0EDF"/>
    <w:rsid w:val="58D30761"/>
    <w:rsid w:val="5967710A"/>
    <w:rsid w:val="5B532C4C"/>
    <w:rsid w:val="721E4986"/>
    <w:rsid w:val="72977261"/>
    <w:rsid w:val="74C47659"/>
    <w:rsid w:val="750E633C"/>
    <w:rsid w:val="786610D1"/>
    <w:rsid w:val="7D07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Batang" w:cs="Times New Roman"/>
      <w:sz w:val="24"/>
      <w:szCs w:val="24"/>
      <w:lang w:val="en-US" w:eastAsia="ko-KR" w:bidi="ar-SA"/>
    </w:rPr>
  </w:style>
  <w:style w:type="paragraph" w:styleId="2">
    <w:name w:val="heading 3"/>
    <w:basedOn w:val="1"/>
    <w:next w:val="1"/>
    <w:link w:val="7"/>
    <w:qFormat/>
    <w:uiPriority w:val="1"/>
    <w:pPr>
      <w:widowControl w:val="0"/>
      <w:ind w:left="100"/>
      <w:outlineLvl w:val="2"/>
    </w:pPr>
    <w:rPr>
      <w:rFonts w:ascii="Arial" w:hAnsi="Arial" w:eastAsia="Arial" w:cs="Arial"/>
      <w:b/>
      <w:bCs/>
      <w:sz w:val="20"/>
      <w:szCs w:val="20"/>
      <w:lang w:eastAsia="en-US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semiHidden/>
    <w:unhideWhenUsed/>
    <w:qFormat/>
    <w:uiPriority w:val="99"/>
    <w:rPr>
      <w:rFonts w:ascii="Tahoma" w:hAnsi="Tahoma" w:cs="Tahoma"/>
      <w:sz w:val="16"/>
      <w:szCs w:val="16"/>
    </w:rPr>
  </w:style>
  <w:style w:type="character" w:styleId="5">
    <w:name w:val="Hyperlink"/>
    <w:qFormat/>
    <w:uiPriority w:val="0"/>
    <w:rPr>
      <w:color w:val="0000FF"/>
      <w:u w:val="single"/>
    </w:rPr>
  </w:style>
  <w:style w:type="character" w:customStyle="1" w:styleId="7">
    <w:name w:val="Heading 3 Char"/>
    <w:basedOn w:val="4"/>
    <w:link w:val="2"/>
    <w:qFormat/>
    <w:uiPriority w:val="1"/>
    <w:rPr>
      <w:rFonts w:ascii="Arial" w:hAnsi="Arial" w:eastAsia="Arial" w:cs="Arial"/>
      <w:b/>
      <w:bCs/>
      <w:sz w:val="20"/>
      <w:szCs w:val="20"/>
      <w:lang w:val="en-US"/>
    </w:rPr>
  </w:style>
  <w:style w:type="character" w:customStyle="1" w:styleId="8">
    <w:name w:val="Balloon Text Char"/>
    <w:basedOn w:val="4"/>
    <w:link w:val="3"/>
    <w:semiHidden/>
    <w:qFormat/>
    <w:uiPriority w:val="99"/>
    <w:rPr>
      <w:rFonts w:ascii="Tahoma" w:hAnsi="Tahoma" w:eastAsia="Batang" w:cs="Tahoma"/>
      <w:sz w:val="16"/>
      <w:szCs w:val="16"/>
      <w:lang w:val="en-US" w:eastAsia="ko-KR"/>
    </w:rPr>
  </w:style>
  <w:style w:type="character" w:customStyle="1" w:styleId="9">
    <w:name w:val="fontstyle01"/>
    <w:basedOn w:val="4"/>
    <w:qFormat/>
    <w:uiPriority w:val="0"/>
    <w:rPr>
      <w:rFonts w:ascii="Univers-Black" w:hAnsi="Univers-Black" w:eastAsia="Univers-Black" w:cs="Univers-Black"/>
      <w:b/>
      <w:color w:val="231F20"/>
      <w:sz w:val="40"/>
      <w:szCs w:val="40"/>
    </w:rPr>
  </w:style>
  <w:style w:type="character" w:customStyle="1" w:styleId="10">
    <w:name w:val="fontstyle21"/>
    <w:basedOn w:val="4"/>
    <w:qFormat/>
    <w:uiPriority w:val="0"/>
    <w:rPr>
      <w:rFonts w:ascii="Univers" w:hAnsi="Univers" w:eastAsia="Univers" w:cs="Univers"/>
      <w:color w:val="231F20"/>
      <w:sz w:val="20"/>
      <w:szCs w:val="20"/>
    </w:rPr>
  </w:style>
  <w:style w:type="character" w:customStyle="1" w:styleId="11">
    <w:name w:val="fontstyle31"/>
    <w:basedOn w:val="4"/>
    <w:uiPriority w:val="0"/>
    <w:rPr>
      <w:rFonts w:ascii="TimesNewRomanPS" w:hAnsi="TimesNewRomanPS" w:eastAsia="TimesNewRomanPS" w:cs="TimesNewRomanPS"/>
      <w:color w:val="231F2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287</Words>
  <Characters>1638</Characters>
  <Lines>13</Lines>
  <Paragraphs>3</Paragraphs>
  <ScaleCrop>false</ScaleCrop>
  <LinksUpToDate>false</LinksUpToDate>
  <CharactersWithSpaces>1922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2017-09-26T07:19:00Z</dcterms:created>
  <dc:creator>Tirupathi Raju chilakalapudi</dc:creator>
  <cp:lastModifiedBy>Thinkpad</cp:lastModifiedBy>
  <dcterms:modified xsi:type="dcterms:W3CDTF">2018-04-18T07:26:54Z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