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Functional variants of TIM-3HAVCR2 3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vertAlign w:val="superscript"/>
          <w:lang w:val="en-US" w:eastAsia="zh-CN"/>
        </w:rPr>
        <w:t xml:space="preserve">,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UTR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in lymphoblastoid cell lines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b/>
          <w:bCs/>
          <w:color w:val="000000"/>
          <w:szCs w:val="32"/>
        </w:rPr>
        <w:t>Aim</w:t>
      </w:r>
      <w:r>
        <w:rPr>
          <w:rFonts w:hint="eastAsia" w:eastAsia="MS PGothic"/>
          <w:color w:val="000000"/>
          <w:szCs w:val="32"/>
        </w:rPr>
        <w:t xml:space="preserve">: Variants of </w:t>
      </w:r>
      <w:r>
        <w:rPr>
          <w:rFonts w:hint="eastAsia" w:eastAsia="MS PGothic"/>
          <w:i/>
          <w:iCs/>
          <w:color w:val="000000"/>
          <w:szCs w:val="32"/>
        </w:rPr>
        <w:t>TIM-3/HAVCR2</w:t>
      </w:r>
      <w:r>
        <w:rPr>
          <w:rFonts w:hint="eastAsia" w:eastAsia="MS PGothic"/>
          <w:color w:val="000000"/>
          <w:szCs w:val="32"/>
        </w:rPr>
        <w:t xml:space="preserve"> 3</w:t>
      </w:r>
      <w:r>
        <w:rPr>
          <w:rFonts w:hint="eastAsia" w:eastAsia="宋体"/>
          <w:color w:val="000000"/>
          <w:szCs w:val="32"/>
          <w:vertAlign w:val="superscript"/>
          <w:lang w:val="en-US" w:eastAsia="zh-CN"/>
        </w:rPr>
        <w:t xml:space="preserve">, </w:t>
      </w:r>
      <w:r>
        <w:rPr>
          <w:rFonts w:hint="eastAsia" w:eastAsia="MS PGothic"/>
          <w:color w:val="000000"/>
          <w:szCs w:val="32"/>
        </w:rPr>
        <w:t xml:space="preserve">UTR miRNA binding sites are signifcantly associated with cancer; however, roles in post-transcriptional regulation have not been elucidated. </w:t>
      </w:r>
      <w:r>
        <w:rPr>
          <w:rFonts w:hint="eastAsia" w:eastAsia="MS PGothic"/>
          <w:b/>
          <w:bCs/>
          <w:color w:val="000000"/>
          <w:szCs w:val="32"/>
        </w:rPr>
        <w:t>Methods</w:t>
      </w:r>
      <w:r>
        <w:rPr>
          <w:rFonts w:hint="eastAsia" w:eastAsia="MS PGothic"/>
          <w:color w:val="000000"/>
          <w:szCs w:val="32"/>
        </w:rPr>
        <w:t>: The regulatory and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coding region single nucleotide polymorphisms (SNPs) of </w:t>
      </w:r>
      <w:r>
        <w:rPr>
          <w:rFonts w:hint="eastAsia" w:eastAsia="MS PGothic"/>
          <w:i/>
          <w:iCs/>
          <w:color w:val="000000"/>
          <w:szCs w:val="32"/>
        </w:rPr>
        <w:t>TIM-3/HAVCR2</w:t>
      </w:r>
      <w:r>
        <w:rPr>
          <w:rFonts w:hint="eastAsia" w:eastAsia="MS PGothic"/>
          <w:color w:val="000000"/>
          <w:szCs w:val="32"/>
        </w:rPr>
        <w:t xml:space="preserve"> were identifed using an online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database. Single nucleotide polymorphism Function Prediction was used to predict potential functional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relevance of miRNA binding sites. </w:t>
      </w:r>
      <w:r>
        <w:rPr>
          <w:rFonts w:hint="eastAsia" w:eastAsia="MS PGothic"/>
          <w:b/>
          <w:bCs/>
          <w:color w:val="000000"/>
          <w:szCs w:val="32"/>
        </w:rPr>
        <w:t>Results</w:t>
      </w:r>
      <w:r>
        <w:rPr>
          <w:rFonts w:hint="eastAsia" w:eastAsia="MS PGothic"/>
          <w:color w:val="000000"/>
          <w:szCs w:val="32"/>
        </w:rPr>
        <w:t>: The analysis indicated rs9313439, rs4704846, rs3087616 and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rs1036199 affect possible miRNA binding sites in </w:t>
      </w:r>
      <w:r>
        <w:rPr>
          <w:rFonts w:hint="eastAsia" w:eastAsia="MS PGothic"/>
          <w:i/>
          <w:iCs/>
          <w:color w:val="000000"/>
          <w:szCs w:val="32"/>
        </w:rPr>
        <w:t>TIM-3/HAVCR2</w:t>
      </w:r>
      <w:r>
        <w:rPr>
          <w:rFonts w:hint="eastAsia" w:eastAsia="MS PGothic"/>
          <w:color w:val="000000"/>
          <w:szCs w:val="32"/>
        </w:rPr>
        <w:t xml:space="preserve"> 3</w:t>
      </w:r>
      <w:r>
        <w:rPr>
          <w:rFonts w:hint="eastAsia" w:eastAsia="宋体"/>
          <w:color w:val="000000"/>
          <w:szCs w:val="32"/>
          <w:vertAlign w:val="superscript"/>
          <w:lang w:val="en-US" w:eastAsia="zh-CN"/>
        </w:rPr>
        <w:t>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UTR. We used additional data on genotypes and limited minor allele frequency &gt;5% in the HapMap populations. Only rs3087616 and rs4704846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were signifcantly associated with </w:t>
      </w:r>
      <w:r>
        <w:rPr>
          <w:rFonts w:hint="eastAsia" w:eastAsia="MS PGothic"/>
          <w:i/>
          <w:iCs/>
          <w:color w:val="000000"/>
          <w:szCs w:val="32"/>
        </w:rPr>
        <w:t>TIM-3/HAVCR2</w:t>
      </w:r>
      <w:r>
        <w:rPr>
          <w:rFonts w:hint="eastAsia" w:eastAsia="MS PGothic"/>
          <w:color w:val="000000"/>
          <w:szCs w:val="32"/>
        </w:rPr>
        <w:t xml:space="preserve">. </w:t>
      </w:r>
      <w:r>
        <w:rPr>
          <w:rFonts w:hint="eastAsia" w:eastAsia="MS PGothic"/>
          <w:b/>
          <w:bCs/>
          <w:color w:val="000000"/>
          <w:szCs w:val="32"/>
        </w:rPr>
        <w:t>Conclusion</w:t>
      </w:r>
      <w:r>
        <w:rPr>
          <w:rFonts w:hint="eastAsia" w:eastAsia="MS PGothic"/>
          <w:color w:val="000000"/>
          <w:szCs w:val="32"/>
        </w:rPr>
        <w:t>: Both rs3087616 and rs4704846 could be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putative variants mediating post-transcriptional regulation of the </w:t>
      </w:r>
      <w:r>
        <w:rPr>
          <w:rFonts w:hint="eastAsia" w:eastAsia="MS PGothic"/>
          <w:i/>
          <w:iCs/>
          <w:color w:val="000000"/>
          <w:szCs w:val="32"/>
        </w:rPr>
        <w:t>TIM-3/HAVCR2</w:t>
      </w:r>
      <w:r>
        <w:rPr>
          <w:rFonts w:hint="eastAsia" w:eastAsia="MS PGothic"/>
          <w:color w:val="000000"/>
          <w:szCs w:val="32"/>
        </w:rPr>
        <w:t>. Deeper understanding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of how 3</w:t>
      </w:r>
      <w:r>
        <w:rPr>
          <w:rFonts w:hint="eastAsia" w:eastAsia="宋体"/>
          <w:color w:val="000000"/>
          <w:szCs w:val="32"/>
          <w:vertAlign w:val="superscript"/>
          <w:lang w:val="en-US" w:eastAsia="zh-CN"/>
        </w:rPr>
        <w:t xml:space="preserve">, </w:t>
      </w:r>
      <w:r>
        <w:rPr>
          <w:rFonts w:hint="eastAsia" w:eastAsia="MS PGothic"/>
          <w:color w:val="000000"/>
          <w:szCs w:val="32"/>
        </w:rPr>
        <w:t xml:space="preserve">UTR variants inﬂuence the activity by </w:t>
      </w:r>
      <w:r>
        <w:rPr>
          <w:rFonts w:hint="eastAsia" w:eastAsia="MS PGothic"/>
          <w:i/>
          <w:iCs/>
          <w:color w:val="000000"/>
          <w:szCs w:val="32"/>
        </w:rPr>
        <w:t>TIM-3/HAVCR2</w:t>
      </w:r>
      <w:r>
        <w:rPr>
          <w:rFonts w:hint="eastAsia" w:eastAsia="MS PGothic"/>
          <w:color w:val="000000"/>
          <w:szCs w:val="32"/>
        </w:rPr>
        <w:t xml:space="preserve"> for therapy against cancer.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Biomarkers</w:t>
      </w:r>
      <w:r>
        <w:t>/</w:t>
      </w:r>
      <w:r>
        <w:rPr>
          <w:rFonts w:hint="eastAsia" w:eastAsia="宋体"/>
          <w:lang w:val="en-US" w:eastAsia="zh-CN"/>
        </w:rPr>
        <w:t>8-2</w:t>
      </w:r>
    </w:p>
    <w:p>
      <w:pPr>
        <w:jc w:val="both"/>
      </w:pPr>
      <w:r>
        <w:t>Category: (</w:t>
      </w:r>
      <w:bookmarkStart w:id="0" w:name="_GoBack"/>
      <w:bookmarkEnd w:id="0"/>
      <w:r>
        <w:t>Poster presentation)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U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0C2866AB"/>
    <w:rsid w:val="146F786D"/>
    <w:rsid w:val="173B5C21"/>
    <w:rsid w:val="1BDC723B"/>
    <w:rsid w:val="1D297891"/>
    <w:rsid w:val="1E6A58FB"/>
    <w:rsid w:val="2DB8631C"/>
    <w:rsid w:val="309F165B"/>
    <w:rsid w:val="32B27649"/>
    <w:rsid w:val="32FB6B75"/>
    <w:rsid w:val="36932AD3"/>
    <w:rsid w:val="4E6A0933"/>
    <w:rsid w:val="4F1F3FD8"/>
    <w:rsid w:val="514547C8"/>
    <w:rsid w:val="521B0EDF"/>
    <w:rsid w:val="58D30761"/>
    <w:rsid w:val="597E54F9"/>
    <w:rsid w:val="60121B58"/>
    <w:rsid w:val="6399310E"/>
    <w:rsid w:val="721E4986"/>
    <w:rsid w:val="72977261"/>
    <w:rsid w:val="750E633C"/>
    <w:rsid w:val="786610D1"/>
    <w:rsid w:val="7D07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uiPriority w:val="0"/>
    <w:rPr>
      <w:rFonts w:ascii="Univers" w:hAnsi="Univers" w:eastAsia="Univers" w:cs="Univers"/>
      <w:color w:val="231F20"/>
      <w:sz w:val="20"/>
      <w:szCs w:val="20"/>
    </w:rPr>
  </w:style>
  <w:style w:type="character" w:customStyle="1" w:styleId="11">
    <w:name w:val="fontstyle31"/>
    <w:basedOn w:val="4"/>
    <w:uiPriority w:val="0"/>
    <w:rPr>
      <w:rFonts w:ascii="RMTMI" w:hAnsi="RMTMI" w:eastAsia="RMTMI" w:cs="RMTMI"/>
      <w:i/>
      <w:color w:val="231F20"/>
      <w:sz w:val="36"/>
      <w:szCs w:val="36"/>
    </w:rPr>
  </w:style>
  <w:style w:type="character" w:customStyle="1" w:styleId="12">
    <w:name w:val="fontstyle41"/>
    <w:basedOn w:val="4"/>
    <w:uiPriority w:val="0"/>
    <w:rPr>
      <w:rFonts w:ascii="MTSY" w:hAnsi="MTSY" w:eastAsia="MTSY" w:cs="MTSY"/>
      <w:color w:val="231F20"/>
      <w:sz w:val="30"/>
      <w:szCs w:val="30"/>
    </w:rPr>
  </w:style>
  <w:style w:type="character" w:customStyle="1" w:styleId="13">
    <w:name w:val="fontstyle51"/>
    <w:basedOn w:val="4"/>
    <w:uiPriority w:val="0"/>
    <w:rPr>
      <w:rFonts w:ascii="MTSYB" w:hAnsi="MTSYB" w:eastAsia="MTSYB" w:cs="MTSYB"/>
      <w:b/>
      <w:color w:val="231F20"/>
      <w:sz w:val="12"/>
      <w:szCs w:val="12"/>
    </w:rPr>
  </w:style>
  <w:style w:type="character" w:customStyle="1" w:styleId="14">
    <w:name w:val="fontstyle61"/>
    <w:basedOn w:val="4"/>
    <w:uiPriority w:val="0"/>
    <w:rPr>
      <w:rFonts w:ascii="RMTMUB" w:hAnsi="RMTMUB" w:eastAsia="RMTMUB" w:cs="RMTMUB"/>
      <w:b/>
      <w:color w:val="231F2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2018-04-18T07:27:25Z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