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2A8D" w:rsidRDefault="002B4EEA" w:rsidP="00EA2A8D">
      <w:pPr>
        <w:rPr>
          <w:b/>
          <w:bCs/>
          <w:sz w:val="32"/>
          <w:szCs w:val="32"/>
          <w:lang w:eastAsia="fr-FR"/>
        </w:rPr>
      </w:pPr>
      <w:r w:rsidRPr="002B4EEA">
        <w:rPr>
          <w:b/>
          <w:bCs/>
          <w:sz w:val="28"/>
          <w:szCs w:val="28"/>
        </w:rPr>
        <w:t xml:space="preserve">SARCOMAS OF THE HEAD AND NECK </w:t>
      </w:r>
      <w:r w:rsidRPr="002B4EEA">
        <w:rPr>
          <w:b/>
          <w:bCs/>
        </w:rPr>
        <w:t xml:space="preserve">: </w:t>
      </w:r>
      <w:r w:rsidRPr="002B4EEA">
        <w:rPr>
          <w:b/>
          <w:bCs/>
          <w:sz w:val="28"/>
          <w:szCs w:val="28"/>
        </w:rPr>
        <w:t>About</w:t>
      </w:r>
      <w:r w:rsidRPr="002B4EEA">
        <w:rPr>
          <w:b/>
          <w:bCs/>
          <w:sz w:val="28"/>
          <w:szCs w:val="28"/>
        </w:rPr>
        <w:t xml:space="preserve"> </w:t>
      </w:r>
      <w:r w:rsidRPr="002B4EEA">
        <w:rPr>
          <w:b/>
          <w:bCs/>
          <w:sz w:val="28"/>
          <w:szCs w:val="28"/>
        </w:rPr>
        <w:t xml:space="preserve">6 cases, </w:t>
      </w:r>
      <w:r w:rsidR="00EA2A8D">
        <w:rPr>
          <w:b/>
          <w:bCs/>
          <w:sz w:val="32"/>
          <w:szCs w:val="32"/>
          <w:lang w:val="en" w:eastAsia="fr-FR"/>
        </w:rPr>
        <w:t>Experience of the M</w:t>
      </w:r>
      <w:r w:rsidRPr="002B4EEA">
        <w:rPr>
          <w:b/>
          <w:bCs/>
          <w:sz w:val="32"/>
          <w:szCs w:val="32"/>
          <w:lang w:val="en" w:eastAsia="fr-FR"/>
        </w:rPr>
        <w:t>e</w:t>
      </w:r>
      <w:r w:rsidR="00EA2A8D">
        <w:rPr>
          <w:b/>
          <w:bCs/>
          <w:sz w:val="32"/>
          <w:szCs w:val="32"/>
          <w:lang w:val="en" w:eastAsia="fr-FR"/>
        </w:rPr>
        <w:t>dical Oncology D</w:t>
      </w:r>
      <w:r w:rsidRPr="002B4EEA">
        <w:rPr>
          <w:b/>
          <w:bCs/>
          <w:sz w:val="32"/>
          <w:szCs w:val="32"/>
          <w:lang w:val="en" w:eastAsia="fr-FR"/>
        </w:rPr>
        <w:t xml:space="preserve">epartment of </w:t>
      </w:r>
      <w:r w:rsidRPr="002B4EEA">
        <w:rPr>
          <w:b/>
          <w:bCs/>
          <w:sz w:val="32"/>
          <w:szCs w:val="32"/>
          <w:lang w:val="en" w:eastAsia="fr-FR"/>
        </w:rPr>
        <w:t xml:space="preserve"> HASSAN II </w:t>
      </w:r>
      <w:r w:rsidR="00EA2A8D">
        <w:rPr>
          <w:b/>
          <w:bCs/>
          <w:sz w:val="32"/>
          <w:szCs w:val="32"/>
          <w:lang w:val="en" w:eastAsia="fr-FR"/>
        </w:rPr>
        <w:t xml:space="preserve"> Hospital U</w:t>
      </w:r>
      <w:r w:rsidRPr="002B4EEA">
        <w:rPr>
          <w:b/>
          <w:bCs/>
          <w:sz w:val="32"/>
          <w:szCs w:val="32"/>
          <w:lang w:val="en" w:eastAsia="fr-FR"/>
        </w:rPr>
        <w:t xml:space="preserve">niversity </w:t>
      </w:r>
      <w:r>
        <w:rPr>
          <w:b/>
          <w:bCs/>
          <w:sz w:val="32"/>
          <w:szCs w:val="32"/>
          <w:lang w:val="en" w:eastAsia="fr-FR"/>
        </w:rPr>
        <w:t>in FEZ</w:t>
      </w:r>
    </w:p>
    <w:p w:rsidR="002B4EEA" w:rsidRPr="00EA2A8D" w:rsidRDefault="00EA2A8D" w:rsidP="00EA2A8D">
      <w:pPr>
        <w:rPr>
          <w:b/>
          <w:bCs/>
          <w:sz w:val="32"/>
          <w:szCs w:val="32"/>
          <w:lang w:eastAsia="fr-FR"/>
        </w:rPr>
      </w:pPr>
      <w:r>
        <w:rPr>
          <w:b/>
          <w:bCs/>
          <w:sz w:val="32"/>
          <w:szCs w:val="32"/>
          <w:lang w:eastAsia="fr-FR"/>
        </w:rPr>
        <w:t xml:space="preserve">   </w:t>
      </w:r>
      <w:r w:rsidR="002B4EEA" w:rsidRPr="002E0ECF">
        <w:rPr>
          <w:rFonts w:ascii="Lucida Sans Unicode" w:hAnsi="Lucida Sans Unicode" w:cs="Lucida Sans Unicode"/>
          <w:b/>
          <w:color w:val="231F20"/>
          <w:szCs w:val="20"/>
        </w:rPr>
        <w:t>N .</w:t>
      </w:r>
      <w:r w:rsidR="002B4EEA">
        <w:rPr>
          <w:rFonts w:ascii="Lucida Sans Unicode" w:hAnsi="Lucida Sans Unicode" w:cs="Lucida Sans Unicode"/>
          <w:b/>
          <w:color w:val="231F20"/>
          <w:szCs w:val="20"/>
        </w:rPr>
        <w:t xml:space="preserve"> </w:t>
      </w:r>
      <w:r w:rsidR="002B4EEA" w:rsidRPr="002E0ECF">
        <w:rPr>
          <w:rFonts w:ascii="Lucida Sans Unicode" w:hAnsi="Lucida Sans Unicode" w:cs="Lucida Sans Unicode"/>
          <w:b/>
          <w:color w:val="231F20"/>
          <w:szCs w:val="20"/>
        </w:rPr>
        <w:t>Acharfi,</w:t>
      </w:r>
      <w:r w:rsidR="002B4EEA">
        <w:rPr>
          <w:rFonts w:ascii="Lucida Sans Unicode" w:hAnsi="Lucida Sans Unicode" w:cs="Lucida Sans Unicode"/>
          <w:b/>
          <w:color w:val="231F20"/>
          <w:szCs w:val="20"/>
        </w:rPr>
        <w:t xml:space="preserve"> M. Benhami</w:t>
      </w:r>
      <w:r w:rsidR="002B4EEA" w:rsidRPr="007A7BEC">
        <w:rPr>
          <w:rFonts w:ascii="Lucida Sans Unicode" w:hAnsi="Lucida Sans Unicode" w:cs="Lucida Sans Unicode"/>
          <w:b/>
          <w:color w:val="231F20"/>
          <w:szCs w:val="20"/>
        </w:rPr>
        <w:t xml:space="preserve"> </w:t>
      </w:r>
      <w:r w:rsidR="002B4EEA">
        <w:rPr>
          <w:rFonts w:ascii="Lucida Sans Unicode" w:hAnsi="Lucida Sans Unicode" w:cs="Lucida Sans Unicode"/>
          <w:b/>
          <w:color w:val="231F20"/>
          <w:szCs w:val="20"/>
        </w:rPr>
        <w:t>,</w:t>
      </w:r>
      <w:r w:rsidR="002B4EEA">
        <w:rPr>
          <w:rFonts w:ascii="Lucida Sans Unicode" w:hAnsi="Lucida Sans Unicode" w:cs="Lucida Sans Unicode"/>
          <w:b/>
          <w:color w:val="231F20"/>
          <w:szCs w:val="20"/>
        </w:rPr>
        <w:t>R.Boujarnija,</w:t>
      </w:r>
      <w:r w:rsidR="002B4EEA">
        <w:rPr>
          <w:rFonts w:ascii="Lucida Sans Unicode" w:hAnsi="Lucida Sans Unicode" w:cs="Lucida Sans Unicode"/>
          <w:b/>
          <w:color w:val="231F20"/>
          <w:szCs w:val="20"/>
        </w:rPr>
        <w:t xml:space="preserve"> </w:t>
      </w:r>
      <w:r w:rsidR="002B4EEA" w:rsidRPr="002E0ECF">
        <w:rPr>
          <w:rFonts w:ascii="Lucida Sans Unicode" w:hAnsi="Lucida Sans Unicode" w:cs="Lucida Sans Unicode"/>
          <w:b/>
          <w:color w:val="231F20"/>
          <w:szCs w:val="20"/>
        </w:rPr>
        <w:t>L. Ama</w:t>
      </w:r>
      <w:r w:rsidR="002B4EEA">
        <w:rPr>
          <w:rFonts w:ascii="Lucida Sans Unicode" w:hAnsi="Lucida Sans Unicode" w:cs="Lucida Sans Unicode"/>
          <w:b/>
          <w:color w:val="231F20"/>
          <w:szCs w:val="20"/>
        </w:rPr>
        <w:t>a</w:t>
      </w:r>
      <w:r w:rsidR="002B4EEA" w:rsidRPr="002E0ECF">
        <w:rPr>
          <w:rFonts w:ascii="Lucida Sans Unicode" w:hAnsi="Lucida Sans Unicode" w:cs="Lucida Sans Unicode"/>
          <w:b/>
          <w:color w:val="231F20"/>
          <w:szCs w:val="20"/>
        </w:rPr>
        <w:t>dour ,</w:t>
      </w:r>
      <w:r>
        <w:rPr>
          <w:rFonts w:ascii="Lucida Sans Unicode" w:hAnsi="Lucida Sans Unicode" w:cs="Lucida Sans Unicode"/>
          <w:b/>
          <w:color w:val="231F20"/>
          <w:szCs w:val="20"/>
        </w:rPr>
        <w:t xml:space="preserve"> </w:t>
      </w:r>
      <w:r w:rsidR="002B4EEA">
        <w:rPr>
          <w:rFonts w:ascii="Lucida Sans Unicode" w:hAnsi="Lucida Sans Unicode" w:cs="Lucida Sans Unicode"/>
          <w:b/>
          <w:color w:val="231F20"/>
          <w:szCs w:val="20"/>
        </w:rPr>
        <w:t>K .Oualla,</w:t>
      </w:r>
      <w:r w:rsidR="002B4EEA" w:rsidRPr="002E0ECF">
        <w:rPr>
          <w:rFonts w:ascii="Lucida Sans Unicode" w:hAnsi="Lucida Sans Unicode" w:cs="Lucida Sans Unicode"/>
          <w:b/>
          <w:color w:val="231F20"/>
          <w:szCs w:val="20"/>
        </w:rPr>
        <w:t xml:space="preserve"> Z.</w:t>
      </w:r>
      <w:r w:rsidR="002B4EEA">
        <w:rPr>
          <w:rFonts w:ascii="Lucida Sans Unicode" w:hAnsi="Lucida Sans Unicode" w:cs="Lucida Sans Unicode"/>
          <w:b/>
          <w:color w:val="231F20"/>
          <w:szCs w:val="20"/>
        </w:rPr>
        <w:t xml:space="preserve"> </w:t>
      </w:r>
      <w:r w:rsidR="002B4EEA" w:rsidRPr="002E0ECF">
        <w:rPr>
          <w:rFonts w:ascii="Lucida Sans Unicode" w:hAnsi="Lucida Sans Unicode" w:cs="Lucida Sans Unicode"/>
          <w:b/>
          <w:color w:val="231F20"/>
          <w:szCs w:val="20"/>
        </w:rPr>
        <w:t xml:space="preserve">Benbrahim , FZ </w:t>
      </w:r>
      <w:r>
        <w:rPr>
          <w:rFonts w:ascii="Lucida Sans Unicode" w:hAnsi="Lucida Sans Unicode" w:cs="Lucida Sans Unicode"/>
          <w:b/>
          <w:color w:val="231F20"/>
          <w:szCs w:val="20"/>
        </w:rPr>
        <w:t xml:space="preserve">  </w:t>
      </w:r>
      <w:r w:rsidR="002B4EEA" w:rsidRPr="002E0ECF">
        <w:rPr>
          <w:rFonts w:ascii="Lucida Sans Unicode" w:hAnsi="Lucida Sans Unicode" w:cs="Lucida Sans Unicode"/>
          <w:b/>
          <w:color w:val="231F20"/>
          <w:szCs w:val="20"/>
        </w:rPr>
        <w:t>Elmrabet, S. Arifi, N. Mellas</w:t>
      </w:r>
    </w:p>
    <w:p w:rsidR="008C7053" w:rsidRDefault="008C7053"/>
    <w:p w:rsidR="00816955" w:rsidRPr="00816955" w:rsidRDefault="00816955" w:rsidP="008169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12121"/>
          <w:sz w:val="26"/>
          <w:szCs w:val="28"/>
          <w:lang w:val="en" w:eastAsia="fr-FR"/>
        </w:rPr>
      </w:pPr>
      <w:r w:rsidRPr="002B4EEA">
        <w:rPr>
          <w:rFonts w:ascii="inherit" w:eastAsia="Times New Roman" w:hAnsi="inherit" w:cs="Courier New"/>
          <w:b/>
          <w:bCs/>
          <w:color w:val="212121"/>
          <w:sz w:val="28"/>
          <w:szCs w:val="28"/>
          <w:u w:val="single"/>
          <w:lang w:val="en" w:eastAsia="fr-FR"/>
        </w:rPr>
        <w:t xml:space="preserve">Introduction </w:t>
      </w:r>
      <w:r w:rsidRPr="00816955">
        <w:rPr>
          <w:rFonts w:ascii="inherit" w:eastAsia="Times New Roman" w:hAnsi="inherit" w:cs="Courier New"/>
          <w:color w:val="212121"/>
          <w:sz w:val="26"/>
          <w:szCs w:val="28"/>
          <w:lang w:val="en" w:eastAsia="fr-FR"/>
        </w:rPr>
        <w:t>:</w:t>
      </w:r>
    </w:p>
    <w:p w:rsidR="00816955" w:rsidRDefault="00816955" w:rsidP="008169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12121"/>
          <w:sz w:val="20"/>
          <w:szCs w:val="20"/>
          <w:lang w:val="en" w:eastAsia="fr-FR"/>
        </w:rPr>
      </w:pPr>
    </w:p>
    <w:p w:rsidR="00816955" w:rsidRPr="00EA2A8D" w:rsidRDefault="00816955" w:rsidP="00EA2A8D">
      <w:pPr>
        <w:jc w:val="both"/>
        <w:rPr>
          <w:sz w:val="24"/>
          <w:szCs w:val="24"/>
          <w:lang w:eastAsia="fr-FR"/>
        </w:rPr>
      </w:pPr>
      <w:r w:rsidRPr="00EA2A8D">
        <w:rPr>
          <w:sz w:val="24"/>
          <w:szCs w:val="24"/>
          <w:lang w:val="en" w:eastAsia="fr-FR"/>
        </w:rPr>
        <w:t>Sarcomas of the head and neck are rare and very heterogeneous malignant tumors. The difficulty of their management requires the intervention of a multidisciplinary team to improve the prognosis. The objective of this study is to report their epidemiological, clinical, histological, therapeutic and evolutionary peculiarities.</w:t>
      </w:r>
    </w:p>
    <w:p w:rsidR="00816955" w:rsidRDefault="00816955">
      <w:pPr>
        <w:rPr>
          <w:color w:val="000000" w:themeColor="text1"/>
          <w:sz w:val="24"/>
          <w:szCs w:val="24"/>
          <w:shd w:val="clear" w:color="auto" w:fill="FFFFFF"/>
        </w:rPr>
      </w:pPr>
      <w:r w:rsidRPr="002B4EEA">
        <w:rPr>
          <w:b/>
          <w:bCs/>
          <w:color w:val="000000" w:themeColor="text1"/>
          <w:sz w:val="28"/>
          <w:szCs w:val="28"/>
          <w:u w:val="single"/>
          <w:shd w:val="clear" w:color="auto" w:fill="FFFFFF"/>
        </w:rPr>
        <w:t>Materials and methods</w:t>
      </w:r>
      <w:r>
        <w:rPr>
          <w:color w:val="000000" w:themeColor="text1"/>
          <w:sz w:val="24"/>
          <w:szCs w:val="24"/>
          <w:shd w:val="clear" w:color="auto" w:fill="FFFFFF"/>
        </w:rPr>
        <w:t> :</w:t>
      </w:r>
    </w:p>
    <w:p w:rsidR="00816955" w:rsidRPr="002B4EEA" w:rsidRDefault="00816955" w:rsidP="00EA2A8D">
      <w:pPr>
        <w:jc w:val="both"/>
        <w:rPr>
          <w:sz w:val="24"/>
          <w:szCs w:val="24"/>
          <w:lang w:eastAsia="fr-FR"/>
        </w:rPr>
      </w:pPr>
      <w:r w:rsidRPr="002B4EEA">
        <w:rPr>
          <w:sz w:val="24"/>
          <w:szCs w:val="24"/>
          <w:lang w:val="en" w:eastAsia="fr-FR"/>
        </w:rPr>
        <w:t>This is a retrospective study conducted in the medical</w:t>
      </w:r>
      <w:r w:rsidRPr="002B4EEA">
        <w:rPr>
          <w:sz w:val="24"/>
          <w:szCs w:val="24"/>
          <w:lang w:val="en" w:eastAsia="fr-FR"/>
        </w:rPr>
        <w:t xml:space="preserve"> oncology department of the </w:t>
      </w:r>
      <w:r w:rsidRPr="002B4EEA">
        <w:rPr>
          <w:sz w:val="24"/>
          <w:szCs w:val="24"/>
          <w:lang w:val="en" w:eastAsia="fr-FR"/>
        </w:rPr>
        <w:t>HASSAN II</w:t>
      </w:r>
      <w:r w:rsidRPr="002B4EEA">
        <w:rPr>
          <w:sz w:val="24"/>
          <w:szCs w:val="24"/>
          <w:lang w:val="en" w:eastAsia="fr-FR"/>
        </w:rPr>
        <w:t xml:space="preserve"> hospital university</w:t>
      </w:r>
      <w:r w:rsidRPr="002B4EEA">
        <w:rPr>
          <w:sz w:val="24"/>
          <w:szCs w:val="24"/>
          <w:lang w:val="en" w:eastAsia="fr-FR"/>
        </w:rPr>
        <w:t xml:space="preserve"> in Fez, including patients with head and neck sarcoma stretching between January 2013 and December 2017.</w:t>
      </w:r>
    </w:p>
    <w:p w:rsidR="00816955" w:rsidRDefault="002B4EEA">
      <w:r>
        <w:rPr>
          <w:b/>
          <w:bCs/>
          <w:sz w:val="28"/>
          <w:szCs w:val="28"/>
          <w:u w:val="single"/>
        </w:rPr>
        <w:t>Results</w:t>
      </w:r>
      <w:r w:rsidR="00816955">
        <w:t> :</w:t>
      </w:r>
    </w:p>
    <w:p w:rsidR="00816955" w:rsidRPr="002B4EEA" w:rsidRDefault="00816955" w:rsidP="00EA2A8D">
      <w:pPr>
        <w:jc w:val="both"/>
        <w:rPr>
          <w:sz w:val="24"/>
          <w:szCs w:val="24"/>
          <w:lang w:eastAsia="fr-FR"/>
        </w:rPr>
      </w:pPr>
      <w:r w:rsidRPr="002B4EEA">
        <w:rPr>
          <w:sz w:val="24"/>
          <w:szCs w:val="24"/>
          <w:lang w:val="en" w:eastAsia="fr-FR"/>
        </w:rPr>
        <w:t>6 cases were reported, 5 men and 1 woman, the mean age was 39 years. In order to evaluate the tumor extension, a facial CT was performed in 4 patients and MRI in 2 patients. The seat of sarcomas in 2 patients, the nasal cavity in 3 patients and the cheek in one patient. The histological types were rhabdomyosarcoma in 3 patients, leiomyosarcoma in one patient, pleomorphic sarcoma in one patient, and myxofibrosarcoma in one patient. patient. Tumor stage was localized in 4 patients and metastatic in 2 patients. Pulmonary metastases were evidenced in 2 patients. Four patients were treated surgically. Radiotherapy was performed in 4 adjuvant patients. Chemotherapy was administered in 5 patients including 3 in the neoadjuvant setting and 2 in metastatic patients.</w:t>
      </w:r>
    </w:p>
    <w:p w:rsidR="00816955" w:rsidRPr="002B4EEA" w:rsidRDefault="00816955" w:rsidP="00816955">
      <w:pPr>
        <w:rPr>
          <w:sz w:val="24"/>
          <w:szCs w:val="24"/>
          <w:lang w:val="en" w:eastAsia="fr-FR"/>
        </w:rPr>
      </w:pPr>
      <w:r w:rsidRPr="002B4EEA">
        <w:rPr>
          <w:sz w:val="24"/>
          <w:szCs w:val="24"/>
          <w:lang w:val="en" w:eastAsia="fr-FR"/>
        </w:rPr>
        <w:t>The chem</w:t>
      </w:r>
      <w:r w:rsidRPr="002B4EEA">
        <w:rPr>
          <w:sz w:val="24"/>
          <w:szCs w:val="24"/>
          <w:lang w:val="en" w:eastAsia="fr-FR"/>
        </w:rPr>
        <w:t>otherapy protocols used were MAI</w:t>
      </w:r>
      <w:r w:rsidRPr="002B4EEA">
        <w:rPr>
          <w:sz w:val="24"/>
          <w:szCs w:val="24"/>
          <w:lang w:val="en" w:eastAsia="fr-FR"/>
        </w:rPr>
        <w:t xml:space="preserve"> in 2 patients including 1 patient in neoadjuvant situation and 1 patient in metastatic situation and VAC in 3 patients including 2 neoadjuvant patients and 1 metastatic patient.</w:t>
      </w:r>
    </w:p>
    <w:p w:rsidR="00816955" w:rsidRPr="002B4EEA" w:rsidRDefault="00816955" w:rsidP="00816955">
      <w:pPr>
        <w:rPr>
          <w:sz w:val="24"/>
          <w:szCs w:val="24"/>
          <w:lang w:eastAsia="fr-FR"/>
        </w:rPr>
      </w:pPr>
      <w:r w:rsidRPr="002B4EEA">
        <w:rPr>
          <w:sz w:val="24"/>
          <w:szCs w:val="24"/>
          <w:lang w:val="en" w:eastAsia="fr-FR"/>
        </w:rPr>
        <w:t>After a median follow-up of 22 months, 4 patients remained under good control, one patient was lost to follow-up and one patient died.</w:t>
      </w:r>
    </w:p>
    <w:p w:rsidR="00816955" w:rsidRPr="002B4EEA" w:rsidRDefault="00816955">
      <w:pPr>
        <w:rPr>
          <w:b/>
          <w:bCs/>
          <w:sz w:val="28"/>
          <w:szCs w:val="28"/>
          <w:u w:val="single"/>
        </w:rPr>
      </w:pPr>
      <w:r w:rsidRPr="002B4EEA">
        <w:rPr>
          <w:b/>
          <w:bCs/>
          <w:sz w:val="28"/>
          <w:szCs w:val="28"/>
          <w:u w:val="single"/>
        </w:rPr>
        <w:t>Conclusion :</w:t>
      </w:r>
    </w:p>
    <w:p w:rsidR="00816955" w:rsidRPr="002B4EEA" w:rsidRDefault="00816955" w:rsidP="00EA2A8D">
      <w:pPr>
        <w:jc w:val="both"/>
        <w:rPr>
          <w:sz w:val="24"/>
          <w:szCs w:val="24"/>
          <w:lang w:eastAsia="fr-FR"/>
        </w:rPr>
      </w:pPr>
      <w:r w:rsidRPr="002B4EEA">
        <w:rPr>
          <w:sz w:val="24"/>
          <w:szCs w:val="24"/>
          <w:lang w:val="en" w:eastAsia="fr-FR"/>
        </w:rPr>
        <w:t>Sarcomas of the head and neck represent a relatively rare but histologically diverse group. The treatment is essentially based on the combination of surgery and radiotherapy and chemotherapy to optimize the therapeutic results.</w:t>
      </w:r>
    </w:p>
    <w:p w:rsidR="00816955" w:rsidRDefault="00816955" w:rsidP="00816955">
      <w:bookmarkStart w:id="0" w:name="_GoBack"/>
      <w:bookmarkEnd w:id="0"/>
    </w:p>
    <w:sectPr w:rsidR="008169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955"/>
    <w:rsid w:val="002B4EEA"/>
    <w:rsid w:val="00816955"/>
    <w:rsid w:val="008C7053"/>
    <w:rsid w:val="00EA2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D51723-549F-436C-945F-6B0CB4172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rformatHTML">
    <w:name w:val="HTML Preformatted"/>
    <w:basedOn w:val="Normal"/>
    <w:link w:val="PrformatHTMLCar"/>
    <w:uiPriority w:val="99"/>
    <w:semiHidden/>
    <w:unhideWhenUsed/>
    <w:rsid w:val="002B4EEA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2B4EEA"/>
    <w:rPr>
      <w:rFonts w:ascii="Consolas" w:hAnsi="Consolas" w:cs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478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1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5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2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340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Nissrine</dc:creator>
  <cp:keywords/>
  <dc:description/>
  <cp:lastModifiedBy>Nissrine</cp:lastModifiedBy>
  <cp:revision>1</cp:revision>
  <dcterms:created xsi:type="dcterms:W3CDTF">2018-04-06T00:00:00Z</dcterms:created>
  <dcterms:modified xsi:type="dcterms:W3CDTF">2018-04-06T00:26:00Z</dcterms:modified>
</cp:coreProperties>
</file>