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75A" w:rsidRPr="006C5FEB" w:rsidRDefault="00DF475A" w:rsidP="00DF475A">
      <w:pPr>
        <w:pStyle w:val="Title"/>
        <w:spacing w:after="200"/>
        <w:rPr>
          <w:rFonts w:ascii="Minion Pro" w:hAnsi="Minion Pro"/>
          <w:sz w:val="36"/>
          <w:szCs w:val="36"/>
        </w:rPr>
      </w:pPr>
      <w:r w:rsidRPr="006C5FEB">
        <w:rPr>
          <w:rFonts w:ascii="Minion Pro" w:hAnsi="Minion Pro"/>
          <w:sz w:val="36"/>
          <w:szCs w:val="36"/>
        </w:rPr>
        <w:t>Developing bioorthogonal smart polymers for cancer therapy</w:t>
      </w:r>
    </w:p>
    <w:p w:rsidR="00DF475A" w:rsidRPr="00707EAC" w:rsidRDefault="00DF475A" w:rsidP="00DF475A">
      <w:pPr>
        <w:spacing w:after="200"/>
        <w:jc w:val="center"/>
        <w:rPr>
          <w:i/>
        </w:rPr>
      </w:pPr>
      <w:r w:rsidRPr="006C5FEB">
        <w:rPr>
          <w:rFonts w:ascii="Minion Pro" w:hAnsi="Minion Pro" w:cs="Arial"/>
          <w:i/>
          <w:sz w:val="28"/>
          <w:szCs w:val="28"/>
          <w:u w:val="single"/>
        </w:rPr>
        <w:t>Gayathri R. Ediriweera</w:t>
      </w:r>
      <w:r w:rsidRPr="006C5FEB">
        <w:rPr>
          <w:rFonts w:ascii="Minion Pro" w:hAnsi="Minion Pro" w:cs="Arial"/>
          <w:i/>
          <w:sz w:val="28"/>
          <w:szCs w:val="28"/>
          <w:u w:val="single"/>
          <w:vertAlign w:val="superscript"/>
        </w:rPr>
        <w:t>1</w:t>
      </w:r>
      <w:r w:rsidRPr="00707EAC">
        <w:rPr>
          <w:i/>
        </w:rPr>
        <w:t>, Zachary H. Houston</w:t>
      </w:r>
      <w:r>
        <w:rPr>
          <w:i/>
          <w:vertAlign w:val="superscript"/>
        </w:rPr>
        <w:t>1</w:t>
      </w:r>
      <w:r w:rsidRPr="00707EAC">
        <w:rPr>
          <w:i/>
        </w:rPr>
        <w:t>, Craig A. Bell</w:t>
      </w:r>
      <w:r>
        <w:rPr>
          <w:i/>
          <w:vertAlign w:val="superscript"/>
        </w:rPr>
        <w:t>1</w:t>
      </w:r>
      <w:r w:rsidRPr="00707EAC">
        <w:rPr>
          <w:i/>
        </w:rPr>
        <w:t>, Kristofer J. Thurecht</w:t>
      </w:r>
      <w:r>
        <w:rPr>
          <w:i/>
          <w:vertAlign w:val="superscript"/>
        </w:rPr>
        <w:t>1</w:t>
      </w:r>
    </w:p>
    <w:p w:rsidR="00DF475A" w:rsidRPr="00707EAC" w:rsidRDefault="00DF475A" w:rsidP="00DF475A">
      <w:pPr>
        <w:spacing w:after="200"/>
        <w:jc w:val="center"/>
        <w:rPr>
          <w:rFonts w:eastAsia="MS Gothic"/>
        </w:rPr>
      </w:pPr>
      <w:r>
        <w:rPr>
          <w:rFonts w:eastAsia="MS Gothic"/>
          <w:vertAlign w:val="superscript"/>
        </w:rPr>
        <w:t>1</w:t>
      </w:r>
      <w:r w:rsidRPr="00707EAC">
        <w:rPr>
          <w:rFonts w:eastAsia="MS Gothic"/>
        </w:rPr>
        <w:t>Australian Institute for Bioengineering and Nanotechnology and Centre for Advanced Imaging, University of Queensland, Brisbane, 4072, Queensland, Australia</w:t>
      </w:r>
    </w:p>
    <w:p w:rsidR="00AE3E37" w:rsidRDefault="00AE3E37">
      <w:pPr>
        <w:rPr>
          <w:rFonts w:ascii="Arial"/>
          <w:sz w:val="21"/>
        </w:rPr>
        <w:sectPr w:rsidR="00AE3E37">
          <w:footerReference w:type="default" r:id="rId8"/>
          <w:type w:val="continuous"/>
          <w:pgSz w:w="11910" w:h="16840"/>
          <w:pgMar w:top="1740" w:right="600" w:bottom="840" w:left="620" w:header="541" w:footer="642" w:gutter="0"/>
          <w:cols w:space="720"/>
        </w:sectPr>
      </w:pPr>
    </w:p>
    <w:p w:rsidR="009361AA" w:rsidRPr="00DF475A" w:rsidRDefault="00DF475A" w:rsidP="00DF475A">
      <w:pPr>
        <w:pStyle w:val="Heading3"/>
        <w:spacing w:before="74"/>
        <w:jc w:val="both"/>
        <w:rPr>
          <w:rFonts w:ascii="Tw Cen MT" w:hAnsi="Tw Cen MT"/>
          <w:b w:val="0"/>
          <w:sz w:val="22"/>
          <w:szCs w:val="22"/>
        </w:rPr>
      </w:pPr>
      <w:r w:rsidRPr="00DF475A">
        <w:rPr>
          <w:rFonts w:ascii="Tw Cen MT" w:hAnsi="Tw Cen MT"/>
          <w:b w:val="0"/>
          <w:sz w:val="22"/>
          <w:szCs w:val="22"/>
        </w:rPr>
        <w:t>The selective delivery and effective localisation of drugs is crucial in cancer therapy. Conventional chemotherapy is subjected to certain drawbacks, such as limitation of tumour-specific receptors that ensure efficient internalisation to enhance drug release as well as significant systemic toxicity to healthy tissues.</w:t>
      </w:r>
      <w:r w:rsidRPr="00DF475A">
        <w:rPr>
          <w:rFonts w:ascii="Tw Cen MT" w:hAnsi="Tw Cen MT"/>
          <w:b w:val="0"/>
          <w:sz w:val="22"/>
          <w:szCs w:val="22"/>
        </w:rPr>
        <w:fldChar w:fldCharType="begin"/>
      </w:r>
      <w:r w:rsidRPr="00DF475A">
        <w:rPr>
          <w:rFonts w:ascii="Tw Cen MT" w:hAnsi="Tw Cen MT"/>
          <w:b w:val="0"/>
          <w:sz w:val="22"/>
          <w:szCs w:val="22"/>
        </w:rPr>
        <w:instrText xml:space="preserve"> ADDIN EN.CITE &lt;EndNote&gt;&lt;Cite&gt;&lt;Author&gt;Matikonda&lt;/Author&gt;&lt;Year&gt;2015&lt;/Year&gt;&lt;RecNum&gt;4&lt;/RecNum&gt;&lt;DisplayText&gt;&lt;style face="superscript"&gt;1&lt;/style&gt;&lt;/DisplayText&gt;&lt;record&gt;&lt;rec-number&gt;4&lt;/rec-number&gt;&lt;foreign-keys&gt;&lt;key app="EN" db-id="5xxrtxa5aaxs5fe2xsnve003drzszsa9wrae" timestamp="1468300143"&gt;4&lt;/key&gt;&lt;/foreign-keys&gt;&lt;ref-type name="Journal Article"&gt;17&lt;/ref-type&gt;&lt;contributors&gt;&lt;authors&gt;&lt;author&gt;Matikonda, Siddharth S&lt;/author&gt;&lt;author&gt;Orsi, Douglas L&lt;/author&gt;&lt;author&gt;Staudacher, Verena&lt;/author&gt;&lt;author&gt;Jenkins, Imogen A&lt;/author&gt;&lt;author&gt;Fiedler, Franziska&lt;/author&gt;&lt;author&gt;Chen, Jiayi&lt;/author&gt;&lt;author&gt;Gamble, Allan B&lt;/author&gt;&lt;/authors&gt;&lt;/contributors&gt;&lt;titles&gt;&lt;title&gt;Bioorthogonal prodrug activation driven by a strain-promoted 1, 3-dipolar cycloaddition&lt;/title&gt;&lt;secondary-title&gt;Chemical Science&lt;/secondary-title&gt;&lt;/titles&gt;&lt;periodical&gt;&lt;full-title&gt;Chemical Science&lt;/full-title&gt;&lt;/periodical&gt;&lt;pages&gt;1212-1218&lt;/pages&gt;&lt;volume&gt;6&lt;/volume&gt;&lt;number&gt;2&lt;/number&gt;&lt;dates&gt;&lt;year&gt;2015&lt;/year&gt;&lt;/dates&gt;&lt;urls&gt;&lt;/urls&gt;&lt;/record&gt;&lt;/Cite&gt;&lt;/EndNote&gt;</w:instrText>
      </w:r>
      <w:r w:rsidRPr="00DF475A">
        <w:rPr>
          <w:rFonts w:ascii="Tw Cen MT" w:hAnsi="Tw Cen MT"/>
          <w:b w:val="0"/>
          <w:sz w:val="22"/>
          <w:szCs w:val="22"/>
        </w:rPr>
        <w:fldChar w:fldCharType="separate"/>
      </w:r>
      <w:r w:rsidRPr="00DF475A">
        <w:rPr>
          <w:rFonts w:ascii="Tw Cen MT" w:hAnsi="Tw Cen MT"/>
          <w:b w:val="0"/>
          <w:noProof/>
          <w:sz w:val="22"/>
          <w:szCs w:val="22"/>
          <w:vertAlign w:val="superscript"/>
        </w:rPr>
        <w:t>1</w:t>
      </w:r>
      <w:r w:rsidRPr="00DF475A">
        <w:rPr>
          <w:rFonts w:ascii="Tw Cen MT" w:hAnsi="Tw Cen MT"/>
          <w:b w:val="0"/>
          <w:sz w:val="22"/>
          <w:szCs w:val="22"/>
        </w:rPr>
        <w:fldChar w:fldCharType="end"/>
      </w:r>
      <w:r w:rsidRPr="00DF475A">
        <w:rPr>
          <w:rFonts w:ascii="Tw Cen MT" w:hAnsi="Tw Cen MT"/>
          <w:b w:val="0"/>
          <w:sz w:val="22"/>
          <w:szCs w:val="22"/>
        </w:rPr>
        <w:t xml:space="preserve"> The use of bioorthogonal chemistry is a versatile and promising tool to overcome such drawbacks as it expands the scope of using non-internalising receptors as targets for cancer therapy and selective extracellular release of the drug. Importantly, this drug release stimulus is controlled only by the addition of an exogenous molecule, providing more direct control over </w:t>
      </w:r>
      <w:r w:rsidRPr="00DF475A">
        <w:rPr>
          <w:rFonts w:ascii="Tw Cen MT" w:hAnsi="Tw Cen MT"/>
          <w:b w:val="0"/>
          <w:i/>
          <w:sz w:val="22"/>
          <w:szCs w:val="22"/>
        </w:rPr>
        <w:t>in vivo</w:t>
      </w:r>
      <w:r w:rsidRPr="00DF475A">
        <w:rPr>
          <w:rFonts w:ascii="Tw Cen MT" w:hAnsi="Tw Cen MT"/>
          <w:b w:val="0"/>
          <w:sz w:val="22"/>
          <w:szCs w:val="22"/>
        </w:rPr>
        <w:t xml:space="preserve"> drug release.</w:t>
      </w:r>
      <w:r w:rsidRPr="00DF475A">
        <w:rPr>
          <w:rFonts w:ascii="Tw Cen MT" w:hAnsi="Tw Cen MT"/>
          <w:b w:val="0"/>
          <w:sz w:val="22"/>
          <w:szCs w:val="22"/>
        </w:rPr>
        <w:fldChar w:fldCharType="begin"/>
      </w:r>
      <w:r w:rsidRPr="00DF475A">
        <w:rPr>
          <w:rFonts w:ascii="Tw Cen MT" w:hAnsi="Tw Cen MT"/>
          <w:b w:val="0"/>
          <w:sz w:val="22"/>
          <w:szCs w:val="22"/>
        </w:rPr>
        <w:instrText xml:space="preserve"> ADDIN EN.CITE &lt;EndNote&gt;&lt;Cite&gt;&lt;Author&gt;Rossin&lt;/Author&gt;&lt;Year&gt;2016&lt;/Year&gt;&lt;RecNum&gt;14&lt;/RecNum&gt;&lt;DisplayText&gt;&lt;style face="superscript"&gt;2&lt;/style&gt;&lt;/DisplayText&gt;&lt;record&gt;&lt;rec-number&gt;14&lt;/rec-number&gt;&lt;foreign-keys&gt;&lt;key app="EN" db-id="5xxrtxa5aaxs5fe2xsnve003drzszsa9wrae" timestamp="1468801715"&gt;14&lt;/key&gt;&lt;/foreign-keys&gt;&lt;ref-type name="Journal Article"&gt;17&lt;/ref-type&gt;&lt;contributors&gt;&lt;authors&gt;&lt;author&gt;Rossin, Raffaella&lt;/author&gt;&lt;author&gt;van Duijnhoven, Sander MJ&lt;/author&gt;&lt;author&gt;ten Hoeve, Wolter&lt;/author&gt;&lt;author&gt;Janssen, Henk M&lt;/author&gt;&lt;author&gt;Hoeben, Freek JM&lt;/author&gt;&lt;author&gt;Versteegen, Ron M&lt;/author&gt;&lt;author&gt;Robillard, Marc S&lt;/author&gt;&lt;/authors&gt;&lt;/contributors&gt;&lt;titles&gt;&lt;title&gt;Triggered Drug Release from an Antibody-Drug Conjugate using Fast “Click-to-Release” Chemistry in Mice&lt;/title&gt;&lt;secondary-title&gt;Bioconjugate Chemistry&lt;/secondary-title&gt;&lt;/titles&gt;&lt;periodical&gt;&lt;full-title&gt;Bioconjugate chemistry&lt;/full-title&gt;&lt;/periodical&gt;&lt;dates&gt;&lt;year&gt;2016&lt;/year&gt;&lt;/dates&gt;&lt;isbn&gt;1043-1802&lt;/isbn&gt;&lt;urls&gt;&lt;/urls&gt;&lt;/record&gt;&lt;/Cite&gt;&lt;/EndNote&gt;</w:instrText>
      </w:r>
      <w:r w:rsidRPr="00DF475A">
        <w:rPr>
          <w:rFonts w:ascii="Tw Cen MT" w:hAnsi="Tw Cen MT"/>
          <w:b w:val="0"/>
          <w:sz w:val="22"/>
          <w:szCs w:val="22"/>
        </w:rPr>
        <w:fldChar w:fldCharType="separate"/>
      </w:r>
      <w:r w:rsidRPr="00DF475A">
        <w:rPr>
          <w:rFonts w:ascii="Tw Cen MT" w:hAnsi="Tw Cen MT"/>
          <w:b w:val="0"/>
          <w:noProof/>
          <w:sz w:val="22"/>
          <w:szCs w:val="22"/>
          <w:vertAlign w:val="superscript"/>
        </w:rPr>
        <w:t>2</w:t>
      </w:r>
      <w:r w:rsidRPr="00DF475A">
        <w:rPr>
          <w:rFonts w:ascii="Tw Cen MT" w:hAnsi="Tw Cen MT"/>
          <w:b w:val="0"/>
          <w:sz w:val="22"/>
          <w:szCs w:val="22"/>
        </w:rPr>
        <w:fldChar w:fldCharType="end"/>
      </w:r>
      <w:r w:rsidRPr="00DF475A">
        <w:rPr>
          <w:rFonts w:ascii="Tw Cen MT" w:hAnsi="Tw Cen MT"/>
          <w:b w:val="0"/>
          <w:sz w:val="22"/>
          <w:szCs w:val="22"/>
        </w:rPr>
        <w:t xml:space="preserve">      In this work, a </w:t>
      </w:r>
      <w:r w:rsidRPr="00DF475A">
        <w:rPr>
          <w:rFonts w:ascii="Tw Cen MT" w:hAnsi="Tw Cen MT"/>
          <w:b w:val="0"/>
          <w:sz w:val="22"/>
          <w:szCs w:val="22"/>
          <w:vertAlign w:val="superscript"/>
        </w:rPr>
        <w:t>64</w:t>
      </w:r>
      <w:r w:rsidRPr="00DF475A">
        <w:rPr>
          <w:rFonts w:ascii="Tw Cen MT" w:hAnsi="Tw Cen MT"/>
          <w:b w:val="0"/>
          <w:sz w:val="22"/>
          <w:szCs w:val="22"/>
        </w:rPr>
        <w:t xml:space="preserve">Cu radiolabelled tetrazine probe (tetrazine-PEG-NOTA) was synthesised, that showed rapid pharmacokinetics in healthy mice when tested in positron emission tomography/computed tomography (PET-CT). Critically, almost all of the tetrazine radioligand was cleared into the bladder within 20 minutes. Additionally, another PET-CT study conducted using a </w:t>
      </w:r>
      <w:r w:rsidRPr="00DF475A">
        <w:rPr>
          <w:rFonts w:ascii="Tw Cen MT" w:hAnsi="Tw Cen MT"/>
          <w:b w:val="0"/>
          <w:sz w:val="22"/>
          <w:szCs w:val="22"/>
          <w:vertAlign w:val="superscript"/>
        </w:rPr>
        <w:t>64</w:t>
      </w:r>
      <w:r w:rsidRPr="00DF475A">
        <w:rPr>
          <w:rFonts w:ascii="Tw Cen MT" w:hAnsi="Tw Cen MT"/>
          <w:b w:val="0"/>
          <w:sz w:val="22"/>
          <w:szCs w:val="22"/>
        </w:rPr>
        <w:t xml:space="preserve">Cu radiolabelled PEG-NOTA probe showed that tetrazine does not affect the clearance behaviour of the molecule from the bloodstream other than the pathway of clearance.  Looking forward, a PEGylated hyperbranched polymer will be synthesised that is conjugated with bispecific antibodies as targeting ligands and </w:t>
      </w:r>
      <w:r w:rsidRPr="00DF475A">
        <w:rPr>
          <w:rFonts w:ascii="Tw Cen MT" w:hAnsi="Tw Cen MT"/>
          <w:b w:val="0"/>
          <w:i/>
          <w:sz w:val="22"/>
          <w:szCs w:val="22"/>
        </w:rPr>
        <w:t>trans</w:t>
      </w:r>
      <w:r w:rsidRPr="00DF475A">
        <w:rPr>
          <w:rFonts w:ascii="Tw Cen MT" w:hAnsi="Tw Cen MT"/>
          <w:b w:val="0"/>
          <w:sz w:val="22"/>
          <w:szCs w:val="22"/>
        </w:rPr>
        <w:t xml:space="preserve">-cyclooctene moieties bearing the anti-cancer drug doxorubicin. This will be administered to tumour-bearing mice, and following its accumulation at the tumour site, the fast clearing tetrazine probe will be administered. Selective bioorthogonal conjugation of the </w:t>
      </w:r>
      <w:r w:rsidRPr="00DF475A">
        <w:rPr>
          <w:rFonts w:ascii="Tw Cen MT" w:hAnsi="Tw Cen MT"/>
          <w:b w:val="0"/>
          <w:sz w:val="22"/>
          <w:szCs w:val="22"/>
          <w:vertAlign w:val="superscript"/>
        </w:rPr>
        <w:t>64</w:t>
      </w:r>
      <w:r w:rsidRPr="00DF475A">
        <w:rPr>
          <w:rFonts w:ascii="Tw Cen MT" w:hAnsi="Tw Cen MT"/>
          <w:b w:val="0"/>
          <w:sz w:val="22"/>
          <w:szCs w:val="22"/>
        </w:rPr>
        <w:t xml:space="preserve">Cu radiolabelled tetrazine probe to </w:t>
      </w:r>
      <w:r w:rsidRPr="00DF475A">
        <w:rPr>
          <w:rFonts w:ascii="Tw Cen MT" w:hAnsi="Tw Cen MT"/>
          <w:b w:val="0"/>
          <w:i/>
          <w:sz w:val="22"/>
          <w:szCs w:val="22"/>
        </w:rPr>
        <w:t>trans</w:t>
      </w:r>
      <w:r w:rsidRPr="00DF475A">
        <w:rPr>
          <w:rFonts w:ascii="Tw Cen MT" w:hAnsi="Tw Cen MT"/>
          <w:b w:val="0"/>
          <w:sz w:val="22"/>
          <w:szCs w:val="22"/>
        </w:rPr>
        <w:t>-cyclooctene through rapid inverse electron demand Diels-Alder cycloaddition will then be monitored in real-time by PET-CT. In this way, the click reaction will facilitate pro-drug activation as well as provide a means to quantify the amount of drug administered at site.</w:t>
      </w:r>
    </w:p>
    <w:p w:rsidR="00AE3E37" w:rsidRDefault="009373FF" w:rsidP="009361AA">
      <w:pPr>
        <w:pStyle w:val="Heading3"/>
        <w:spacing w:before="74"/>
        <w:jc w:val="both"/>
      </w:pPr>
      <w:r>
        <w:rPr>
          <w:noProof/>
          <w:lang w:val="en-AU" w:eastAsia="en-AU"/>
        </w:rPr>
        <w:drawing>
          <wp:anchor distT="0" distB="0" distL="114300" distR="114300" simplePos="0" relativeHeight="251657728" behindDoc="0" locked="0" layoutInCell="1" allowOverlap="1">
            <wp:simplePos x="0" y="0"/>
            <wp:positionH relativeFrom="column">
              <wp:posOffset>5511165</wp:posOffset>
            </wp:positionH>
            <wp:positionV relativeFrom="paragraph">
              <wp:posOffset>153035</wp:posOffset>
            </wp:positionV>
            <wp:extent cx="809625" cy="781050"/>
            <wp:effectExtent l="0" t="0" r="9525" b="0"/>
            <wp:wrapNone/>
            <wp:docPr id="1" name="Picture 1" descr="https://intranet.sharepoint.uq.edu.au/sites/CAI/Shared%20Documents/UQ%20Logos/UQ%20logo%20stacked%20-%20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sharepoint.uq.edu.au/sites/CAI/Shared%20Documents/UQ%20Logos/UQ%20logo%20stacked%20-%20colou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962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F475A">
        <w:rPr>
          <w:noProof/>
          <w:lang w:val="en-AU" w:eastAsia="en-AU"/>
        </w:rPr>
        <w:drawing>
          <wp:anchor distT="0" distB="0" distL="114300" distR="114300" simplePos="0" relativeHeight="251659776" behindDoc="0" locked="0" layoutInCell="1" allowOverlap="1">
            <wp:simplePos x="0" y="0"/>
            <wp:positionH relativeFrom="column">
              <wp:posOffset>635000</wp:posOffset>
            </wp:positionH>
            <wp:positionV relativeFrom="paragraph">
              <wp:posOffset>45720</wp:posOffset>
            </wp:positionV>
            <wp:extent cx="694690" cy="9239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4690" cy="923925"/>
                    </a:xfrm>
                    <a:prstGeom prst="rect">
                      <a:avLst/>
                    </a:prstGeom>
                    <a:noFill/>
                  </pic:spPr>
                </pic:pic>
              </a:graphicData>
            </a:graphic>
          </wp:anchor>
        </w:drawing>
      </w:r>
      <w:r w:rsidR="00A9710C">
        <w:rPr>
          <w:b w:val="0"/>
        </w:rPr>
        <w:br w:type="column"/>
      </w:r>
    </w:p>
    <w:p w:rsidR="006C5FEB" w:rsidRDefault="006C5FEB">
      <w:pPr>
        <w:pStyle w:val="BodyText"/>
        <w:spacing w:before="2"/>
        <w:rPr>
          <w:rFonts w:ascii="Arial"/>
          <w:b/>
          <w:noProof/>
          <w:sz w:val="16"/>
          <w:lang w:val="en-AU" w:eastAsia="en-AU"/>
        </w:rPr>
      </w:pPr>
    </w:p>
    <w:p w:rsidR="006C5FEB" w:rsidRDefault="006C5FEB">
      <w:pPr>
        <w:pStyle w:val="BodyText"/>
        <w:spacing w:before="2"/>
        <w:rPr>
          <w:rFonts w:ascii="Arial"/>
          <w:b/>
          <w:sz w:val="16"/>
        </w:rPr>
      </w:pPr>
    </w:p>
    <w:p w:rsidR="00AE3E37" w:rsidRDefault="006C5FEB">
      <w:pPr>
        <w:pStyle w:val="BodyText"/>
        <w:spacing w:before="2"/>
        <w:rPr>
          <w:rFonts w:ascii="Arial"/>
          <w:b/>
          <w:sz w:val="16"/>
        </w:rPr>
      </w:pPr>
      <w:r>
        <w:rPr>
          <w:rFonts w:ascii="Arial"/>
          <w:b/>
          <w:noProof/>
          <w:sz w:val="16"/>
          <w:lang w:val="en-AU" w:eastAsia="en-AU"/>
        </w:rPr>
        <w:drawing>
          <wp:inline distT="0" distB="0" distL="0" distR="0" wp14:anchorId="24D9EC39">
            <wp:extent cx="3657744" cy="1477644"/>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46252" cy="1513399"/>
                    </a:xfrm>
                    <a:prstGeom prst="rect">
                      <a:avLst/>
                    </a:prstGeom>
                    <a:noFill/>
                  </pic:spPr>
                </pic:pic>
              </a:graphicData>
            </a:graphic>
          </wp:inline>
        </w:drawing>
      </w:r>
    </w:p>
    <w:p w:rsidR="006C5FEB" w:rsidRPr="00707EAC" w:rsidRDefault="005973B9" w:rsidP="006C5FEB">
      <w:pPr>
        <w:pStyle w:val="Caption"/>
        <w:jc w:val="center"/>
        <w:rPr>
          <w:rFonts w:ascii="Times New Roman" w:hAnsi="Times New Roman"/>
        </w:rPr>
      </w:pPr>
      <w:r>
        <w:rPr>
          <w:color w:val="BF5A14"/>
        </w:rPr>
        <w:br/>
      </w:r>
      <w:r w:rsidR="006C5FEB" w:rsidRPr="00707EAC">
        <w:rPr>
          <w:rFonts w:ascii="Times New Roman" w:hAnsi="Times New Roman"/>
        </w:rPr>
        <w:t xml:space="preserve">Figure </w:t>
      </w:r>
      <w:r w:rsidR="006C5FEB" w:rsidRPr="00707EAC">
        <w:rPr>
          <w:rFonts w:ascii="Times New Roman" w:hAnsi="Times New Roman"/>
        </w:rPr>
        <w:fldChar w:fldCharType="begin"/>
      </w:r>
      <w:r w:rsidR="006C5FEB" w:rsidRPr="00707EAC">
        <w:rPr>
          <w:rFonts w:ascii="Times New Roman" w:hAnsi="Times New Roman"/>
        </w:rPr>
        <w:instrText xml:space="preserve"> SEQ Figure \* ARABIC </w:instrText>
      </w:r>
      <w:r w:rsidR="006C5FEB" w:rsidRPr="00707EAC">
        <w:rPr>
          <w:rFonts w:ascii="Times New Roman" w:hAnsi="Times New Roman"/>
        </w:rPr>
        <w:fldChar w:fldCharType="separate"/>
      </w:r>
      <w:r w:rsidR="006C5FEB">
        <w:rPr>
          <w:rFonts w:ascii="Times New Roman" w:hAnsi="Times New Roman"/>
          <w:noProof/>
        </w:rPr>
        <w:t>1</w:t>
      </w:r>
      <w:r w:rsidR="006C5FEB" w:rsidRPr="00707EAC">
        <w:rPr>
          <w:rFonts w:ascii="Times New Roman" w:hAnsi="Times New Roman"/>
        </w:rPr>
        <w:fldChar w:fldCharType="end"/>
      </w:r>
      <w:r w:rsidR="006C5FEB" w:rsidRPr="00707EAC">
        <w:rPr>
          <w:rFonts w:ascii="Times New Roman" w:hAnsi="Times New Roman"/>
        </w:rPr>
        <w:t xml:space="preserve">: Hyperbranched polymer-drug conjugate activation </w:t>
      </w:r>
      <w:r w:rsidR="006C5FEB">
        <w:rPr>
          <w:rFonts w:ascii="Times New Roman" w:hAnsi="Times New Roman"/>
        </w:rPr>
        <w:t>via</w:t>
      </w:r>
      <w:r w:rsidR="006C5FEB" w:rsidRPr="00707EAC">
        <w:rPr>
          <w:rFonts w:ascii="Times New Roman" w:hAnsi="Times New Roman"/>
        </w:rPr>
        <w:t xml:space="preserve"> bioorthogonal reaction on a tumour cell </w:t>
      </w:r>
    </w:p>
    <w:p w:rsidR="006C5FEB" w:rsidRDefault="006C5FEB" w:rsidP="009361AA">
      <w:pPr>
        <w:spacing w:line="204" w:lineRule="exact"/>
        <w:rPr>
          <w:rFonts w:ascii="Arial"/>
          <w:b/>
          <w:color w:val="BF5A14"/>
          <w:sz w:val="20"/>
        </w:rPr>
      </w:pPr>
    </w:p>
    <w:p w:rsidR="006C5FEB" w:rsidRDefault="006C5FEB" w:rsidP="009361AA">
      <w:pPr>
        <w:spacing w:line="204" w:lineRule="exact"/>
        <w:rPr>
          <w:rFonts w:ascii="Arial"/>
          <w:b/>
          <w:color w:val="BF5A14"/>
          <w:sz w:val="20"/>
        </w:rPr>
      </w:pPr>
    </w:p>
    <w:p w:rsidR="00AE3E37" w:rsidRDefault="005973B9" w:rsidP="009361AA">
      <w:pPr>
        <w:spacing w:line="204" w:lineRule="exact"/>
        <w:rPr>
          <w:rFonts w:ascii="Arial"/>
          <w:b/>
          <w:color w:val="BF5A14"/>
          <w:sz w:val="20"/>
        </w:rPr>
      </w:pPr>
      <w:r>
        <w:rPr>
          <w:rFonts w:ascii="Arial"/>
          <w:b/>
          <w:color w:val="BF5A14"/>
          <w:sz w:val="20"/>
        </w:rPr>
        <w:t>Recent Publications</w:t>
      </w:r>
    </w:p>
    <w:p w:rsidR="006C5FEB" w:rsidRDefault="006C5FEB" w:rsidP="009361AA">
      <w:pPr>
        <w:spacing w:line="204" w:lineRule="exact"/>
        <w:rPr>
          <w:rFonts w:ascii="Arial"/>
          <w:b/>
          <w:color w:val="BF5A14"/>
          <w:sz w:val="20"/>
        </w:rPr>
      </w:pPr>
    </w:p>
    <w:p w:rsidR="006C5FEB" w:rsidRPr="009361AA" w:rsidRDefault="006C5FEB" w:rsidP="009361AA">
      <w:pPr>
        <w:spacing w:line="204" w:lineRule="exact"/>
        <w:rPr>
          <w:rFonts w:ascii="Arial"/>
          <w:b/>
          <w:sz w:val="20"/>
        </w:rPr>
      </w:pPr>
    </w:p>
    <w:p w:rsidR="00AE3E37" w:rsidRPr="00967FD6" w:rsidRDefault="00967FD6">
      <w:pPr>
        <w:spacing w:line="200" w:lineRule="exact"/>
        <w:jc w:val="both"/>
        <w:rPr>
          <w:rFonts w:ascii="Calibri" w:hAnsi="Calibri"/>
        </w:rPr>
        <w:sectPr w:rsidR="00AE3E37" w:rsidRPr="00967FD6">
          <w:type w:val="continuous"/>
          <w:pgSz w:w="11910" w:h="16840"/>
          <w:pgMar w:top="1740" w:right="600" w:bottom="840" w:left="620" w:header="720" w:footer="720" w:gutter="0"/>
          <w:cols w:num="2" w:space="720" w:equalWidth="0">
            <w:col w:w="5214" w:space="138"/>
            <w:col w:w="5338"/>
          </w:cols>
        </w:sectPr>
      </w:pPr>
      <w:r>
        <w:rPr>
          <w:rFonts w:ascii="Calibri" w:hAnsi="Calibri" w:cs="Helvetica"/>
          <w:color w:val="222222"/>
          <w:shd w:val="clear" w:color="auto" w:fill="FFFFFF"/>
        </w:rPr>
        <w:t xml:space="preserve">1. </w:t>
      </w:r>
      <w:r w:rsidRPr="00967FD6">
        <w:rPr>
          <w:rFonts w:ascii="Calibri" w:hAnsi="Calibri" w:cs="Helvetica"/>
          <w:color w:val="222222"/>
          <w:shd w:val="clear" w:color="auto" w:fill="FFFFFF"/>
        </w:rPr>
        <w:t xml:space="preserve">Padumadasa, C.; Abeysekara, A. M.; Thabrew, I.; Ediriweera, A. P. G. R., Pharmacological Overview of Proanthocyanidins from the Bark of </w:t>
      </w:r>
      <w:r w:rsidRPr="00874DEE">
        <w:rPr>
          <w:rFonts w:ascii="Calibri" w:hAnsi="Calibri" w:cs="Helvetica"/>
          <w:i/>
          <w:color w:val="222222"/>
          <w:shd w:val="clear" w:color="auto" w:fill="FFFFFF"/>
        </w:rPr>
        <w:t>Thespesia populnea</w:t>
      </w:r>
      <w:r w:rsidRPr="00967FD6">
        <w:rPr>
          <w:rFonts w:ascii="Calibri" w:hAnsi="Calibri" w:cs="Helvetica"/>
          <w:color w:val="222222"/>
          <w:shd w:val="clear" w:color="auto" w:fill="FFFFFF"/>
        </w:rPr>
        <w:t xml:space="preserve"> (L.) as an Antioxidant and Cytotoxic Agent. International Journal of Pharmaceutical Sc</w:t>
      </w:r>
      <w:r w:rsidR="00874DEE">
        <w:rPr>
          <w:rFonts w:ascii="Calibri" w:hAnsi="Calibri" w:cs="Helvetica"/>
          <w:color w:val="222222"/>
          <w:shd w:val="clear" w:color="auto" w:fill="FFFFFF"/>
        </w:rPr>
        <w:t>iences and Research 2016, 7(1),</w:t>
      </w:r>
      <w:r w:rsidRPr="00967FD6">
        <w:rPr>
          <w:rFonts w:ascii="Calibri" w:hAnsi="Calibri" w:cs="Helvetica"/>
          <w:color w:val="222222"/>
          <w:shd w:val="clear" w:color="auto" w:fill="FFFFFF"/>
        </w:rPr>
        <w:t>1000-1008.</w:t>
      </w:r>
      <w:r w:rsidR="00DF475A" w:rsidRPr="00967FD6">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67A2D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44AF" w:rsidRDefault="008756E6" w:rsidP="006B44AF">
      <w:pPr>
        <w:keepNext/>
      </w:pPr>
      <w:r>
        <w:rPr>
          <w:noProof/>
        </w:rPr>
        <w:t xml:space="preserve">    </w:t>
      </w:r>
    </w:p>
    <w:p w:rsidR="00DF475A" w:rsidRDefault="00DF475A" w:rsidP="00DF475A">
      <w:pPr>
        <w:jc w:val="both"/>
        <w:rPr>
          <w:color w:val="222222"/>
          <w:shd w:val="clear" w:color="auto" w:fill="FFFFFF"/>
        </w:rPr>
      </w:pPr>
    </w:p>
    <w:p w:rsidR="00DF475A" w:rsidRDefault="00DF475A" w:rsidP="00DF475A">
      <w:pPr>
        <w:jc w:val="both"/>
        <w:rPr>
          <w:color w:val="222222"/>
          <w:shd w:val="clear" w:color="auto" w:fill="FFFFFF"/>
        </w:rPr>
      </w:pPr>
    </w:p>
    <w:p w:rsidR="00DF475A" w:rsidRDefault="00DF475A" w:rsidP="00DF475A">
      <w:pPr>
        <w:jc w:val="both"/>
        <w:rPr>
          <w:color w:val="222222"/>
          <w:shd w:val="clear" w:color="auto" w:fill="FFFFFF"/>
        </w:rPr>
      </w:pPr>
    </w:p>
    <w:p w:rsidR="00DF475A" w:rsidRPr="00DF475A" w:rsidRDefault="00DF475A" w:rsidP="00DF475A">
      <w:pPr>
        <w:jc w:val="both"/>
        <w:rPr>
          <w:rFonts w:ascii="Arial" w:hAnsi="Arial" w:cs="Arial"/>
          <w:b/>
          <w:sz w:val="18"/>
          <w:szCs w:val="18"/>
        </w:rPr>
      </w:pPr>
      <w:r w:rsidRPr="00DF475A">
        <w:rPr>
          <w:rFonts w:ascii="Arial" w:hAnsi="Arial" w:cs="Arial"/>
          <w:color w:val="222222"/>
          <w:sz w:val="18"/>
          <w:szCs w:val="18"/>
          <w:shd w:val="clear" w:color="auto" w:fill="FFFFFF"/>
        </w:rPr>
        <w:t>Gayathri Ediriweera is currently undertaking her PhD under the guidance of Asssociate Prof. Kristofer Thurecht in both the Centre for Advance Imaging and the Australian Institute for Bioengineering and Nanotechnology at the University of Queensland. She completed her B.Sc. (Hons) from University of Sri Jayewardenepura, Sri Lanka. She received several awards including Prof. Tuley de Silva Gold medal and Alles Memorial award for her outstanding performance in B.Sc. (Hons) degree. She started her career as an Assistant Lecturer in the University of Sri Jayewardenepura, Sri Lanka. Then she received the opportunity to peruse her Doctor of Philosophy (PhD) in the University of Queensland. Her current research interest is on developing polymeric theranostics using bioorthogonal chemistry.</w:t>
      </w:r>
    </w:p>
    <w:p w:rsidR="00AE3E37" w:rsidRPr="00DF475A" w:rsidRDefault="00A9710C" w:rsidP="00DF475A">
      <w:pPr>
        <w:spacing w:before="41" w:line="154" w:lineRule="exact"/>
        <w:ind w:right="231"/>
        <w:jc w:val="center"/>
        <w:rPr>
          <w:rFonts w:ascii="Arial"/>
          <w:sz w:val="18"/>
        </w:rPr>
      </w:pPr>
      <w:r w:rsidRPr="009361AA">
        <w:rPr>
          <w:rFonts w:ascii="Arial"/>
          <w:sz w:val="18"/>
        </w:rPr>
        <w:t>.</w:t>
      </w:r>
      <w:r>
        <w:rPr>
          <w:rFonts w:ascii="Arial"/>
          <w:sz w:val="14"/>
        </w:rPr>
        <w:t xml:space="preserve">Email: </w:t>
      </w:r>
      <w:hyperlink r:id="rId12" w:history="1">
        <w:r w:rsidR="00DF475A" w:rsidRPr="00EC0E0B">
          <w:rPr>
            <w:rStyle w:val="Hyperlink"/>
            <w:rFonts w:ascii="Arial"/>
            <w:sz w:val="14"/>
          </w:rPr>
          <w:t>a.ediriweera@uqconnect.edu.au</w:t>
        </w:r>
      </w:hyperlink>
    </w:p>
    <w:p w:rsidR="00AE3E37" w:rsidRDefault="00292ED9">
      <w:pPr>
        <w:pStyle w:val="BodyText"/>
        <w:spacing w:before="2"/>
        <w:rPr>
          <w:rFonts w:ascii="Arial"/>
          <w:sz w:val="19"/>
        </w:rPr>
      </w:pPr>
      <w:r>
        <w:rPr>
          <w:noProof/>
          <w:lang w:val="en-AU" w:eastAsia="en-A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79299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bookmarkStart w:id="0" w:name="_GoBack"/>
    </w:p>
    <w:bookmarkEnd w:id="0"/>
    <w:p w:rsidR="00AE3E37" w:rsidRDefault="00AE3E37">
      <w:pPr>
        <w:pStyle w:val="BodyText"/>
        <w:rPr>
          <w:rFonts w:ascii="Arial"/>
          <w:sz w:val="20"/>
        </w:rPr>
      </w:pPr>
    </w:p>
    <w:p w:rsidR="00AE3E37" w:rsidRDefault="009361AA">
      <w:pPr>
        <w:rPr>
          <w:rFonts w:ascii="Minion Pro"/>
          <w:sz w:val="24"/>
        </w:rPr>
        <w:sectPr w:rsidR="00AE3E37">
          <w:type w:val="continuous"/>
          <w:pgSz w:w="11910" w:h="16840"/>
          <w:pgMar w:top="1740" w:right="600" w:bottom="840" w:left="620" w:header="720" w:footer="720" w:gutter="0"/>
          <w:cols w:space="720"/>
        </w:sectPr>
      </w:pPr>
      <w:r>
        <w:rPr>
          <w:rFonts w:ascii="Minion Pro"/>
          <w:b/>
          <w:sz w:val="20"/>
        </w:rPr>
        <w:t>\</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B56" w:rsidRDefault="004C2B56">
      <w:r>
        <w:separator/>
      </w:r>
    </w:p>
  </w:endnote>
  <w:endnote w:type="continuationSeparator" w:id="0">
    <w:p w:rsidR="004C2B56" w:rsidRDefault="004C2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500000000000000"/>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Pr="002B0A93" w:rsidRDefault="00AE3E37" w:rsidP="002B0A93">
    <w:pPr>
      <w:pStyle w:val="Footer"/>
      <w:jc w:val="right"/>
      <w:rPr>
        <w:rFonts w:ascii="Times New Roman" w:hAnsi="Times New Roman" w:cs="Times New Roman"/>
        <w:sz w:val="28"/>
        <w:szCs w:val="28"/>
        <w:lang w:val="en-I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B56" w:rsidRDefault="004C2B56">
      <w:r>
        <w:separator/>
      </w:r>
    </w:p>
  </w:footnote>
  <w:footnote w:type="continuationSeparator" w:id="0">
    <w:p w:rsidR="004C2B56" w:rsidRDefault="004C2B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B67417F"/>
    <w:multiLevelType w:val="hybridMultilevel"/>
    <w:tmpl w:val="AC28FB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2F513A0"/>
    <w:multiLevelType w:val="hybridMultilevel"/>
    <w:tmpl w:val="2E6E768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707A"/>
    <w:rsid w:val="0004444B"/>
    <w:rsid w:val="000E2911"/>
    <w:rsid w:val="001263DF"/>
    <w:rsid w:val="00224C32"/>
    <w:rsid w:val="00273C63"/>
    <w:rsid w:val="00292ED9"/>
    <w:rsid w:val="002B0A93"/>
    <w:rsid w:val="003A5141"/>
    <w:rsid w:val="00404E5B"/>
    <w:rsid w:val="00414F7B"/>
    <w:rsid w:val="0042163B"/>
    <w:rsid w:val="004355DC"/>
    <w:rsid w:val="004749B4"/>
    <w:rsid w:val="00494130"/>
    <w:rsid w:val="004C2B56"/>
    <w:rsid w:val="004F3523"/>
    <w:rsid w:val="005214EE"/>
    <w:rsid w:val="005973B9"/>
    <w:rsid w:val="005B3A56"/>
    <w:rsid w:val="006060CE"/>
    <w:rsid w:val="006272D5"/>
    <w:rsid w:val="00630714"/>
    <w:rsid w:val="0063497F"/>
    <w:rsid w:val="006B44AF"/>
    <w:rsid w:val="006C5FEB"/>
    <w:rsid w:val="00853E1F"/>
    <w:rsid w:val="00854E8A"/>
    <w:rsid w:val="00873DF0"/>
    <w:rsid w:val="00874DEE"/>
    <w:rsid w:val="008756E6"/>
    <w:rsid w:val="009361AA"/>
    <w:rsid w:val="009373FF"/>
    <w:rsid w:val="00967FD6"/>
    <w:rsid w:val="009B2D44"/>
    <w:rsid w:val="00A07E82"/>
    <w:rsid w:val="00A9710C"/>
    <w:rsid w:val="00AA248B"/>
    <w:rsid w:val="00AE3E37"/>
    <w:rsid w:val="00B21A57"/>
    <w:rsid w:val="00B263A6"/>
    <w:rsid w:val="00B52666"/>
    <w:rsid w:val="00C33602"/>
    <w:rsid w:val="00C80461"/>
    <w:rsid w:val="00CD6F55"/>
    <w:rsid w:val="00DE3104"/>
    <w:rsid w:val="00DF475A"/>
    <w:rsid w:val="00E354CE"/>
    <w:rsid w:val="00F5779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DFDBBC"/>
  <w15:docId w15:val="{8C943A48-2DD8-4D7F-952C-63CC6FADC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paragraph" w:styleId="Title">
    <w:name w:val="Title"/>
    <w:basedOn w:val="Normal"/>
    <w:link w:val="TitleChar"/>
    <w:uiPriority w:val="99"/>
    <w:qFormat/>
    <w:rsid w:val="00DF475A"/>
    <w:pPr>
      <w:widowControl/>
      <w:jc w:val="center"/>
    </w:pPr>
    <w:rPr>
      <w:rFonts w:ascii="Times New Roman" w:eastAsia="Times New Roman" w:hAnsi="Times New Roman" w:cs="Times New Roman"/>
      <w:b/>
      <w:sz w:val="24"/>
      <w:szCs w:val="20"/>
      <w:lang w:val="en-GB"/>
    </w:rPr>
  </w:style>
  <w:style w:type="character" w:customStyle="1" w:styleId="TitleChar">
    <w:name w:val="Title Char"/>
    <w:basedOn w:val="DefaultParagraphFont"/>
    <w:link w:val="Title"/>
    <w:uiPriority w:val="99"/>
    <w:rsid w:val="00DF475A"/>
    <w:rPr>
      <w:rFonts w:ascii="Times New Roman" w:eastAsia="Times New Roman" w:hAnsi="Times New Roman" w:cs="Times New Roman"/>
      <w:b/>
      <w:sz w:val="24"/>
      <w:szCs w:val="20"/>
      <w:lang w:val="en-GB"/>
    </w:rPr>
  </w:style>
  <w:style w:type="paragraph" w:styleId="Caption">
    <w:name w:val="caption"/>
    <w:basedOn w:val="Normal"/>
    <w:next w:val="Normal"/>
    <w:uiPriority w:val="35"/>
    <w:qFormat/>
    <w:rsid w:val="006C5FEB"/>
    <w:pPr>
      <w:widowControl/>
      <w:spacing w:before="120" w:after="120"/>
    </w:pPr>
    <w:rPr>
      <w:rFonts w:ascii="Arial" w:eastAsia="Times New Roman" w:hAnsi="Arial" w:cs="Times New Roman"/>
      <w:b/>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83959217">
      <w:bodyDiv w:val="1"/>
      <w:marLeft w:val="0"/>
      <w:marRight w:val="0"/>
      <w:marTop w:val="0"/>
      <w:marBottom w:val="0"/>
      <w:divBdr>
        <w:top w:val="none" w:sz="0" w:space="0" w:color="auto"/>
        <w:left w:val="none" w:sz="0" w:space="0" w:color="auto"/>
        <w:bottom w:val="none" w:sz="0" w:space="0" w:color="auto"/>
        <w:right w:val="none" w:sz="0" w:space="0" w:color="auto"/>
      </w:divBdr>
    </w:div>
    <w:div w:id="145262788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ediriweera@uqconnect.edu.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4DEE2-8B18-454C-A8F2-4B8660E8A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842</Words>
  <Characters>4801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Arukattu Ediriweera</cp:lastModifiedBy>
  <cp:revision>3</cp:revision>
  <dcterms:created xsi:type="dcterms:W3CDTF">2018-02-13T01:21:00Z</dcterms:created>
  <dcterms:modified xsi:type="dcterms:W3CDTF">2018-02-13T01:22:00Z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