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D0D" w:rsidRDefault="00326D0D" w:rsidP="00232583">
      <w:pPr>
        <w:rPr>
          <w:rFonts w:asciiTheme="majorBidi" w:hAnsiTheme="majorBidi" w:cstheme="majorBidi"/>
          <w:b/>
          <w:bCs/>
          <w:color w:val="000000" w:themeColor="text1"/>
          <w:kern w:val="36"/>
          <w:sz w:val="24"/>
          <w:szCs w:val="24"/>
        </w:rPr>
      </w:pPr>
    </w:p>
    <w:p w:rsidR="003005B8" w:rsidRDefault="00952113" w:rsidP="00650FB5">
      <w:pPr>
        <w:jc w:val="center"/>
        <w:rPr>
          <w:rFonts w:asciiTheme="majorBidi" w:hAnsiTheme="majorBidi" w:cstheme="majorBidi"/>
          <w:b/>
          <w:bCs/>
          <w:color w:val="000000" w:themeColor="text1"/>
          <w:kern w:val="36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kern w:val="36"/>
          <w:sz w:val="24"/>
          <w:szCs w:val="24"/>
        </w:rPr>
        <w:t>POLYPHENOLS ACT SYNERGISTICALLY WITH DOXORUBICIN AND ETOPOSIDE IN LEUKAEMIA CELL LINE</w:t>
      </w:r>
      <w:r w:rsidR="00650FB5">
        <w:rPr>
          <w:rFonts w:asciiTheme="majorBidi" w:hAnsiTheme="majorBidi" w:cstheme="majorBidi"/>
          <w:b/>
          <w:bCs/>
          <w:color w:val="000000" w:themeColor="text1"/>
          <w:kern w:val="36"/>
          <w:sz w:val="24"/>
          <w:szCs w:val="24"/>
        </w:rPr>
        <w:t>S.</w:t>
      </w:r>
    </w:p>
    <w:p w:rsidR="00BE05A9" w:rsidRPr="00650FB5" w:rsidRDefault="00650FB5" w:rsidP="00650FB5">
      <w:pPr>
        <w:jc w:val="center"/>
        <w:rPr>
          <w:rFonts w:asciiTheme="majorBidi" w:hAnsiTheme="majorBidi" w:cstheme="majorBidi"/>
          <w:b/>
          <w:bCs/>
          <w:color w:val="000000" w:themeColor="text1"/>
          <w:kern w:val="36"/>
          <w:sz w:val="24"/>
          <w:szCs w:val="24"/>
        </w:rPr>
      </w:pPr>
      <w:r>
        <w:rPr>
          <w:rFonts w:asciiTheme="majorBidi" w:hAnsiTheme="majorBidi" w:cstheme="majorBidi"/>
          <w:b/>
          <w:bCs/>
          <w:color w:val="000000" w:themeColor="text1"/>
          <w:kern w:val="36"/>
          <w:sz w:val="24"/>
          <w:szCs w:val="24"/>
        </w:rPr>
        <w:t xml:space="preserve"> </w:t>
      </w:r>
      <w:hyperlink r:id="rId6" w:history="1">
        <w:proofErr w:type="spellStart"/>
        <w:r w:rsidR="00BE05A9" w:rsidRPr="00DF62EC">
          <w:rPr>
            <w:rStyle w:val="Hyperlink"/>
            <w:rFonts w:asciiTheme="majorBidi" w:hAnsiTheme="majorBidi" w:cstheme="majorBidi"/>
            <w:b/>
            <w:bCs/>
            <w:color w:val="auto"/>
            <w:sz w:val="24"/>
            <w:szCs w:val="24"/>
          </w:rPr>
          <w:t>Mahbub</w:t>
        </w:r>
        <w:proofErr w:type="spellEnd"/>
      </w:hyperlink>
      <w:hyperlink r:id="rId7" w:history="1">
        <w:r w:rsidR="00BE05A9" w:rsidRPr="00DF62EC">
          <w:rPr>
            <w:rStyle w:val="Hyperlink"/>
            <w:rFonts w:asciiTheme="majorBidi" w:hAnsiTheme="majorBidi" w:cstheme="majorBidi"/>
            <w:b/>
            <w:bCs/>
            <w:color w:val="auto"/>
            <w:sz w:val="24"/>
            <w:szCs w:val="24"/>
          </w:rPr>
          <w:t xml:space="preserve"> AA</w:t>
        </w:r>
      </w:hyperlink>
      <w:r w:rsidR="00F5328B" w:rsidRPr="00F5328B">
        <w:rPr>
          <w:rStyle w:val="Hyperlink"/>
          <w:rFonts w:asciiTheme="majorBidi" w:hAnsiTheme="majorBidi" w:cstheme="majorBidi"/>
          <w:b/>
          <w:bCs/>
          <w:color w:val="auto"/>
          <w:sz w:val="24"/>
          <w:szCs w:val="24"/>
          <w:vertAlign w:val="superscript"/>
        </w:rPr>
        <w:t>1</w:t>
      </w:r>
      <w:r w:rsidR="00BE05A9" w:rsidRPr="00DF62EC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hyperlink r:id="rId8" w:history="1">
        <w:r w:rsidR="00BE05A9" w:rsidRPr="00DF62EC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 xml:space="preserve">Le </w:t>
        </w:r>
        <w:proofErr w:type="spellStart"/>
        <w:r w:rsidR="00BE05A9" w:rsidRPr="00DF62EC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>Maitre</w:t>
        </w:r>
        <w:proofErr w:type="spellEnd"/>
        <w:r w:rsidR="00BE05A9" w:rsidRPr="00DF62EC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 xml:space="preserve"> CL</w:t>
        </w:r>
      </w:hyperlink>
      <w:r w:rsidR="00F5328B" w:rsidRPr="00F5328B">
        <w:rPr>
          <w:rStyle w:val="Hyperlink"/>
          <w:rFonts w:asciiTheme="majorBidi" w:hAnsiTheme="majorBidi" w:cstheme="majorBidi"/>
          <w:color w:val="auto"/>
          <w:sz w:val="24"/>
          <w:szCs w:val="24"/>
          <w:vertAlign w:val="superscript"/>
        </w:rPr>
        <w:t>2</w:t>
      </w:r>
      <w:r w:rsidR="00BE05A9" w:rsidRPr="00DF62EC">
        <w:rPr>
          <w:rFonts w:asciiTheme="majorBidi" w:hAnsiTheme="majorBidi" w:cstheme="majorBidi"/>
          <w:sz w:val="24"/>
          <w:szCs w:val="24"/>
        </w:rPr>
        <w:t xml:space="preserve">, </w:t>
      </w:r>
      <w:hyperlink r:id="rId9" w:history="1">
        <w:r w:rsidR="00BE05A9" w:rsidRPr="00DF62EC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>Haywood-Small SL</w:t>
        </w:r>
      </w:hyperlink>
      <w:r w:rsidR="00F5328B" w:rsidRPr="00F5328B">
        <w:rPr>
          <w:rStyle w:val="Hyperlink"/>
          <w:rFonts w:asciiTheme="majorBidi" w:hAnsiTheme="majorBidi" w:cstheme="majorBidi"/>
          <w:color w:val="auto"/>
          <w:sz w:val="24"/>
          <w:szCs w:val="24"/>
          <w:vertAlign w:val="superscript"/>
        </w:rPr>
        <w:t>2</w:t>
      </w:r>
      <w:r w:rsidR="00BE05A9" w:rsidRPr="00DF62EC">
        <w:rPr>
          <w:rFonts w:asciiTheme="majorBidi" w:hAnsiTheme="majorBidi" w:cstheme="majorBidi"/>
          <w:sz w:val="24"/>
          <w:szCs w:val="24"/>
        </w:rPr>
        <w:t xml:space="preserve">, </w:t>
      </w:r>
      <w:hyperlink r:id="rId10" w:history="1">
        <w:r w:rsidR="00BE05A9" w:rsidRPr="00DF62EC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>Cross NA</w:t>
        </w:r>
      </w:hyperlink>
      <w:r w:rsidR="00F5328B" w:rsidRPr="00F5328B">
        <w:rPr>
          <w:rStyle w:val="Hyperlink"/>
          <w:rFonts w:asciiTheme="majorBidi" w:hAnsiTheme="majorBidi" w:cstheme="majorBidi"/>
          <w:color w:val="auto"/>
          <w:sz w:val="24"/>
          <w:szCs w:val="24"/>
          <w:vertAlign w:val="superscript"/>
        </w:rPr>
        <w:t>2</w:t>
      </w:r>
      <w:r w:rsidR="00BE05A9" w:rsidRPr="00DF62EC">
        <w:rPr>
          <w:rFonts w:asciiTheme="majorBidi" w:hAnsiTheme="majorBidi" w:cstheme="majorBidi"/>
          <w:sz w:val="24"/>
          <w:szCs w:val="24"/>
        </w:rPr>
        <w:t xml:space="preserve">, </w:t>
      </w:r>
      <w:hyperlink r:id="rId11" w:history="1">
        <w:r w:rsidR="00BE05A9" w:rsidRPr="00DF62EC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>Jordan-</w:t>
        </w:r>
        <w:proofErr w:type="spellStart"/>
      </w:hyperlink>
      <w:hyperlink r:id="rId12" w:history="1">
        <w:r w:rsidR="00BE05A9" w:rsidRPr="00DF62EC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>Mahy</w:t>
        </w:r>
        <w:proofErr w:type="spellEnd"/>
      </w:hyperlink>
      <w:hyperlink r:id="rId13" w:history="1">
        <w:r w:rsidR="00BE05A9" w:rsidRPr="00DF62EC">
          <w:rPr>
            <w:rStyle w:val="Hyperlink"/>
            <w:rFonts w:asciiTheme="majorBidi" w:hAnsiTheme="majorBidi" w:cstheme="majorBidi"/>
            <w:color w:val="auto"/>
            <w:sz w:val="24"/>
            <w:szCs w:val="24"/>
          </w:rPr>
          <w:t xml:space="preserve"> N</w:t>
        </w:r>
      </w:hyperlink>
      <w:r w:rsidR="00F5328B" w:rsidRPr="00F5328B">
        <w:rPr>
          <w:rStyle w:val="Hyperlink"/>
          <w:rFonts w:asciiTheme="majorBidi" w:hAnsiTheme="majorBidi" w:cstheme="majorBidi"/>
          <w:color w:val="auto"/>
          <w:sz w:val="24"/>
          <w:szCs w:val="24"/>
          <w:vertAlign w:val="superscript"/>
        </w:rPr>
        <w:t>2</w:t>
      </w:r>
    </w:p>
    <w:p w:rsidR="006828AA" w:rsidRDefault="00F5328B" w:rsidP="00D325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College of Applied Medical S</w:t>
      </w:r>
      <w:r w:rsidRPr="00F5328B">
        <w:rPr>
          <w:rFonts w:asciiTheme="majorBidi" w:hAnsiTheme="majorBidi" w:cstheme="majorBidi"/>
          <w:sz w:val="24"/>
          <w:szCs w:val="24"/>
        </w:rPr>
        <w:t>ciences</w:t>
      </w:r>
      <w:r>
        <w:rPr>
          <w:rFonts w:asciiTheme="majorBidi" w:hAnsiTheme="majorBidi" w:cstheme="majorBidi"/>
          <w:sz w:val="24"/>
          <w:szCs w:val="24"/>
        </w:rPr>
        <w:t xml:space="preserve"> – Pathology Department, U</w:t>
      </w:r>
      <w:r w:rsidRPr="00F5328B">
        <w:rPr>
          <w:rFonts w:asciiTheme="majorBidi" w:hAnsiTheme="majorBidi" w:cstheme="majorBidi"/>
          <w:sz w:val="24"/>
          <w:szCs w:val="24"/>
        </w:rPr>
        <w:t>mm</w:t>
      </w:r>
      <w:r>
        <w:rPr>
          <w:rFonts w:asciiTheme="majorBidi" w:hAnsiTheme="majorBidi" w:cstheme="majorBidi"/>
          <w:sz w:val="24"/>
          <w:szCs w:val="24"/>
        </w:rPr>
        <w:t xml:space="preserve"> Al </w:t>
      </w:r>
      <w:proofErr w:type="spellStart"/>
      <w:r>
        <w:rPr>
          <w:rFonts w:asciiTheme="majorBidi" w:hAnsiTheme="majorBidi" w:cstheme="majorBidi"/>
          <w:sz w:val="24"/>
          <w:szCs w:val="24"/>
        </w:rPr>
        <w:t>Q</w:t>
      </w:r>
      <w:r w:rsidRPr="00F5328B">
        <w:rPr>
          <w:rFonts w:asciiTheme="majorBidi" w:hAnsiTheme="majorBidi" w:cstheme="majorBidi"/>
          <w:sz w:val="24"/>
          <w:szCs w:val="24"/>
        </w:rPr>
        <w:t>ura</w:t>
      </w:r>
      <w:proofErr w:type="spellEnd"/>
      <w:r w:rsidRPr="00F5328B">
        <w:rPr>
          <w:rFonts w:asciiTheme="majorBidi" w:hAnsiTheme="majorBidi" w:cstheme="majorBidi"/>
          <w:sz w:val="24"/>
          <w:szCs w:val="24"/>
        </w:rPr>
        <w:t xml:space="preserve"> University</w:t>
      </w:r>
      <w:r w:rsidR="00436BD6">
        <w:rPr>
          <w:rFonts w:asciiTheme="majorBidi" w:hAnsiTheme="majorBidi" w:cstheme="majorBidi"/>
          <w:sz w:val="24"/>
          <w:szCs w:val="24"/>
        </w:rPr>
        <w:t xml:space="preserve">, </w:t>
      </w:r>
      <w:r w:rsidR="00436BD6" w:rsidRPr="00F16A29">
        <w:rPr>
          <w:rFonts w:ascii="Times New Roman" w:hAnsi="Times New Roman" w:cs="Times New Roman"/>
          <w:sz w:val="24"/>
          <w:szCs w:val="24"/>
        </w:rPr>
        <w:t>Makkah, KSA.</w:t>
      </w:r>
      <w:r w:rsidR="00D325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05A9" w:rsidRDefault="00F5328B" w:rsidP="00D3251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16A2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F16A29" w:rsidRPr="00F16A29">
        <w:rPr>
          <w:rFonts w:ascii="Times New Roman" w:hAnsi="Times New Roman" w:cs="Times New Roman"/>
          <w:sz w:val="24"/>
          <w:szCs w:val="24"/>
          <w:lang w:val="en"/>
        </w:rPr>
        <w:t>Biomolecular Sciences Research Centre</w:t>
      </w:r>
      <w:r w:rsidR="00F16A29" w:rsidRPr="00F16A29">
        <w:rPr>
          <w:rFonts w:ascii="Times New Roman" w:hAnsi="Times New Roman" w:cs="Times New Roman"/>
          <w:sz w:val="24"/>
          <w:szCs w:val="24"/>
        </w:rPr>
        <w:t xml:space="preserve"> </w:t>
      </w:r>
      <w:r w:rsidR="00BE05A9" w:rsidRPr="00F16A29">
        <w:rPr>
          <w:rFonts w:ascii="Times New Roman" w:hAnsi="Times New Roman" w:cs="Times New Roman"/>
          <w:sz w:val="24"/>
          <w:szCs w:val="24"/>
        </w:rPr>
        <w:t>- Cancer Research, Sheffield Hallam University, Howard Street, Sheffield, S1 1WB</w:t>
      </w:r>
      <w:r w:rsidR="00436BD6" w:rsidRPr="00F16A29">
        <w:rPr>
          <w:rFonts w:ascii="Times New Roman" w:hAnsi="Times New Roman" w:cs="Times New Roman"/>
          <w:sz w:val="24"/>
          <w:szCs w:val="24"/>
        </w:rPr>
        <w:t>, UK.</w:t>
      </w:r>
    </w:p>
    <w:p w:rsidR="00BE05A9" w:rsidRDefault="00BE05A9" w:rsidP="00BE05A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69D7">
        <w:rPr>
          <w:rFonts w:asciiTheme="majorBidi" w:hAnsiTheme="majorBidi" w:cstheme="majorBidi"/>
          <w:b/>
          <w:bCs/>
          <w:sz w:val="24"/>
          <w:szCs w:val="24"/>
        </w:rPr>
        <w:t xml:space="preserve">Background: </w:t>
      </w:r>
      <w:r w:rsidRPr="00B302B8">
        <w:rPr>
          <w:rFonts w:asciiTheme="majorBidi" w:hAnsiTheme="majorBidi" w:cstheme="majorBidi"/>
          <w:sz w:val="24"/>
          <w:szCs w:val="24"/>
        </w:rPr>
        <w:t xml:space="preserve">The study aimed to assess the effects of </w:t>
      </w:r>
      <w:r>
        <w:rPr>
          <w:rFonts w:asciiTheme="majorBidi" w:hAnsiTheme="majorBidi" w:cstheme="majorBidi"/>
          <w:sz w:val="24"/>
          <w:szCs w:val="24"/>
        </w:rPr>
        <w:t xml:space="preserve">polyphenol when used in </w:t>
      </w:r>
      <w:r w:rsidRPr="00B302B8">
        <w:rPr>
          <w:rFonts w:asciiTheme="majorBidi" w:hAnsiTheme="majorBidi" w:cstheme="majorBidi"/>
          <w:sz w:val="24"/>
          <w:szCs w:val="24"/>
        </w:rPr>
        <w:t xml:space="preserve">combination with </w:t>
      </w:r>
      <w:r>
        <w:rPr>
          <w:rFonts w:asciiTheme="majorBidi" w:hAnsiTheme="majorBidi" w:cstheme="majorBidi"/>
          <w:sz w:val="24"/>
          <w:szCs w:val="24"/>
        </w:rPr>
        <w:t xml:space="preserve">doxorubicin and etoposide, and </w:t>
      </w:r>
      <w:r w:rsidRPr="00B302B8">
        <w:rPr>
          <w:rFonts w:asciiTheme="majorBidi" w:hAnsiTheme="majorBidi" w:cstheme="majorBidi"/>
          <w:sz w:val="24"/>
          <w:szCs w:val="24"/>
        </w:rPr>
        <w:t>determine whether polyphenols sensitize</w:t>
      </w:r>
      <w:r>
        <w:rPr>
          <w:rFonts w:asciiTheme="majorBidi" w:hAnsiTheme="majorBidi" w:cstheme="majorBidi"/>
          <w:sz w:val="24"/>
          <w:szCs w:val="24"/>
        </w:rPr>
        <w:t>d</w:t>
      </w:r>
      <w:r w:rsidRPr="00B302B8">
        <w:rPr>
          <w:rFonts w:asciiTheme="majorBidi" w:hAnsiTheme="majorBidi" w:cstheme="majorBidi"/>
          <w:sz w:val="24"/>
          <w:szCs w:val="24"/>
        </w:rPr>
        <w:t xml:space="preserve"> leukaemia cells</w:t>
      </w:r>
      <w:r>
        <w:rPr>
          <w:rFonts w:asciiTheme="majorBidi" w:hAnsiTheme="majorBidi" w:cstheme="majorBidi"/>
          <w:sz w:val="24"/>
          <w:szCs w:val="24"/>
        </w:rPr>
        <w:t>,</w:t>
      </w:r>
      <w:r w:rsidRPr="00B302B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causing cell-</w:t>
      </w:r>
      <w:r w:rsidRPr="00B302B8">
        <w:rPr>
          <w:rFonts w:asciiTheme="majorBidi" w:hAnsiTheme="majorBidi" w:cstheme="majorBidi"/>
          <w:sz w:val="24"/>
          <w:szCs w:val="24"/>
        </w:rPr>
        <w:t>cycle</w:t>
      </w:r>
      <w:r w:rsidRPr="0000609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arrest,</w:t>
      </w:r>
      <w:r w:rsidRPr="00B302B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inhibition of cell proliferation</w:t>
      </w:r>
      <w:r w:rsidRPr="00B302B8">
        <w:rPr>
          <w:rFonts w:asciiTheme="majorBidi" w:hAnsiTheme="majorBidi" w:cstheme="majorBidi"/>
          <w:sz w:val="24"/>
          <w:szCs w:val="24"/>
        </w:rPr>
        <w:t xml:space="preserve"> and</w:t>
      </w:r>
      <w:r>
        <w:rPr>
          <w:rFonts w:asciiTheme="majorBidi" w:hAnsiTheme="majorBidi" w:cstheme="majorBidi"/>
          <w:sz w:val="24"/>
          <w:szCs w:val="24"/>
        </w:rPr>
        <w:t xml:space="preserve"> induction of </w:t>
      </w:r>
      <w:r w:rsidRPr="00B302B8">
        <w:rPr>
          <w:rFonts w:asciiTheme="majorBidi" w:hAnsiTheme="majorBidi" w:cstheme="majorBidi"/>
          <w:sz w:val="24"/>
          <w:szCs w:val="24"/>
        </w:rPr>
        <w:t xml:space="preserve">apoptosis. The rationale being that in some solid tumours, polyphenols have been shown to sensitize cells to apoptosis and/or </w:t>
      </w:r>
      <w:r>
        <w:rPr>
          <w:rFonts w:asciiTheme="majorBidi" w:hAnsiTheme="majorBidi" w:cstheme="majorBidi"/>
          <w:sz w:val="24"/>
          <w:szCs w:val="24"/>
        </w:rPr>
        <w:t>cell-cycle</w:t>
      </w:r>
      <w:r w:rsidRPr="00B302B8">
        <w:rPr>
          <w:rFonts w:asciiTheme="majorBidi" w:hAnsiTheme="majorBidi" w:cstheme="majorBidi"/>
          <w:sz w:val="24"/>
          <w:szCs w:val="24"/>
        </w:rPr>
        <w:t xml:space="preserve"> arrest, potentially reducing doses</w:t>
      </w:r>
      <w:r>
        <w:rPr>
          <w:rFonts w:asciiTheme="majorBidi" w:hAnsiTheme="majorBidi" w:cstheme="majorBidi"/>
          <w:sz w:val="24"/>
          <w:szCs w:val="24"/>
        </w:rPr>
        <w:t>,</w:t>
      </w:r>
      <w:r w:rsidRPr="00B302B8">
        <w:rPr>
          <w:rFonts w:asciiTheme="majorBidi" w:hAnsiTheme="majorBidi" w:cstheme="majorBidi"/>
          <w:sz w:val="24"/>
          <w:szCs w:val="24"/>
        </w:rPr>
        <w:t xml:space="preserve"> whilst maintaining efficacy. </w:t>
      </w:r>
    </w:p>
    <w:p w:rsidR="00BE05A9" w:rsidRDefault="00BE05A9" w:rsidP="00BE05A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69D7">
        <w:rPr>
          <w:rFonts w:asciiTheme="majorBidi" w:hAnsiTheme="majorBidi" w:cstheme="majorBidi"/>
          <w:b/>
          <w:bCs/>
          <w:sz w:val="24"/>
          <w:szCs w:val="24"/>
        </w:rPr>
        <w:t xml:space="preserve">Method: </w:t>
      </w:r>
      <w:r>
        <w:rPr>
          <w:rFonts w:asciiTheme="majorBidi" w:hAnsiTheme="majorBidi" w:cstheme="majorBidi"/>
          <w:sz w:val="24"/>
          <w:szCs w:val="24"/>
        </w:rPr>
        <w:t>Q</w:t>
      </w:r>
      <w:r w:rsidRPr="001069D7">
        <w:rPr>
          <w:rFonts w:asciiTheme="majorBidi" w:hAnsiTheme="majorBidi" w:cstheme="majorBidi"/>
          <w:sz w:val="24"/>
          <w:szCs w:val="24"/>
        </w:rPr>
        <w:t xml:space="preserve">uercetin, </w:t>
      </w:r>
      <w:proofErr w:type="spellStart"/>
      <w:r w:rsidRPr="001069D7">
        <w:rPr>
          <w:rFonts w:asciiTheme="majorBidi" w:hAnsiTheme="majorBidi" w:cstheme="majorBidi"/>
          <w:sz w:val="24"/>
          <w:szCs w:val="24"/>
        </w:rPr>
        <w:t>apigenin</w:t>
      </w:r>
      <w:proofErr w:type="spellEnd"/>
      <w:r w:rsidRPr="001069D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069D7">
        <w:rPr>
          <w:rFonts w:asciiTheme="majorBidi" w:hAnsiTheme="majorBidi" w:cstheme="majorBidi"/>
          <w:sz w:val="24"/>
          <w:szCs w:val="24"/>
        </w:rPr>
        <w:t>emodin</w:t>
      </w:r>
      <w:proofErr w:type="spellEnd"/>
      <w:r w:rsidRPr="001069D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069D7">
        <w:rPr>
          <w:rFonts w:asciiTheme="majorBidi" w:hAnsiTheme="majorBidi" w:cstheme="majorBidi"/>
          <w:sz w:val="24"/>
          <w:szCs w:val="24"/>
        </w:rPr>
        <w:t>rhein</w:t>
      </w:r>
      <w:proofErr w:type="spellEnd"/>
      <w:r w:rsidRPr="001069D7">
        <w:rPr>
          <w:rFonts w:asciiTheme="majorBidi" w:hAnsiTheme="majorBidi" w:cstheme="majorBidi"/>
          <w:sz w:val="24"/>
          <w:szCs w:val="24"/>
        </w:rPr>
        <w:t xml:space="preserve">, </w:t>
      </w:r>
      <w:proofErr w:type="gramStart"/>
      <w:r w:rsidRPr="001069D7">
        <w:rPr>
          <w:rFonts w:asciiTheme="majorBidi" w:hAnsiTheme="majorBidi" w:cstheme="majorBidi"/>
          <w:sz w:val="24"/>
          <w:szCs w:val="24"/>
        </w:rPr>
        <w:t>cis</w:t>
      </w:r>
      <w:proofErr w:type="gramEnd"/>
      <w:r w:rsidRPr="001069D7">
        <w:rPr>
          <w:rFonts w:asciiTheme="majorBidi" w:hAnsiTheme="majorBidi" w:cstheme="majorBidi"/>
          <w:sz w:val="24"/>
          <w:szCs w:val="24"/>
        </w:rPr>
        <w:t>-stilbene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1069D7">
        <w:rPr>
          <w:rFonts w:asciiTheme="majorBidi" w:hAnsiTheme="majorBidi" w:cstheme="majorBidi"/>
          <w:sz w:val="24"/>
          <w:szCs w:val="24"/>
        </w:rPr>
        <w:t>w</w:t>
      </w:r>
      <w:r>
        <w:rPr>
          <w:rFonts w:asciiTheme="majorBidi" w:hAnsiTheme="majorBidi" w:cstheme="majorBidi"/>
          <w:sz w:val="24"/>
          <w:szCs w:val="24"/>
        </w:rPr>
        <w:t>ere</w:t>
      </w:r>
      <w:r w:rsidRPr="001069D7">
        <w:rPr>
          <w:rFonts w:asciiTheme="majorBidi" w:hAnsiTheme="majorBidi" w:cstheme="majorBidi"/>
          <w:sz w:val="24"/>
          <w:szCs w:val="24"/>
        </w:rPr>
        <w:t xml:space="preserve"> investigated alone and in combination with etoposide and doxorubicin</w:t>
      </w:r>
      <w:r w:rsidRPr="004A3399">
        <w:rPr>
          <w:rFonts w:asciiTheme="majorBidi" w:hAnsiTheme="majorBidi" w:cstheme="majorBidi"/>
          <w:sz w:val="24"/>
          <w:szCs w:val="24"/>
        </w:rPr>
        <w:t xml:space="preserve"> </w:t>
      </w:r>
      <w:r w:rsidR="008B7E0A">
        <w:rPr>
          <w:rFonts w:asciiTheme="majorBidi" w:hAnsiTheme="majorBidi" w:cstheme="majorBidi"/>
          <w:sz w:val="24"/>
          <w:szCs w:val="24"/>
        </w:rPr>
        <w:t>in two lymphoid (</w:t>
      </w:r>
      <w:proofErr w:type="spellStart"/>
      <w:r w:rsidR="008B7E0A">
        <w:rPr>
          <w:rFonts w:asciiTheme="majorBidi" w:hAnsiTheme="majorBidi" w:cstheme="majorBidi"/>
          <w:sz w:val="24"/>
          <w:szCs w:val="24"/>
        </w:rPr>
        <w:t>Jurkat</w:t>
      </w:r>
      <w:proofErr w:type="spellEnd"/>
      <w:r w:rsidRPr="001069D7">
        <w:rPr>
          <w:rFonts w:asciiTheme="majorBidi" w:hAnsiTheme="majorBidi" w:cstheme="majorBidi"/>
          <w:sz w:val="24"/>
          <w:szCs w:val="24"/>
        </w:rPr>
        <w:t xml:space="preserve"> and CCRF-CEM) and two myeloid (THP-1 and KG-1a) leukaemia cells lines</w:t>
      </w:r>
      <w:r>
        <w:rPr>
          <w:rFonts w:asciiTheme="majorBidi" w:hAnsiTheme="majorBidi" w:cstheme="majorBidi"/>
          <w:sz w:val="24"/>
          <w:szCs w:val="24"/>
        </w:rPr>
        <w:t>. Measurements were made of ATP levels</w:t>
      </w:r>
      <w:r w:rsidRPr="001069D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</w:t>
      </w:r>
      <w:proofErr w:type="spellStart"/>
      <w:r w:rsidRPr="001069D7">
        <w:rPr>
          <w:rFonts w:asciiTheme="majorBidi" w:hAnsiTheme="majorBidi" w:cstheme="majorBidi"/>
          <w:iCs/>
          <w:color w:val="000000" w:themeColor="text1"/>
          <w:sz w:val="24"/>
          <w:szCs w:val="24"/>
        </w:rPr>
        <w:t>CellTiter-Glo®assay</w:t>
      </w:r>
      <w:proofErr w:type="spellEnd"/>
      <w:r>
        <w:rPr>
          <w:rFonts w:asciiTheme="majorBidi" w:hAnsiTheme="majorBidi" w:cstheme="majorBidi"/>
          <w:iCs/>
          <w:color w:val="000000" w:themeColor="text1"/>
          <w:sz w:val="24"/>
          <w:szCs w:val="24"/>
        </w:rPr>
        <w:t xml:space="preserve">), </w:t>
      </w:r>
      <w:r>
        <w:rPr>
          <w:rFonts w:asciiTheme="majorBidi" w:hAnsiTheme="majorBidi" w:cstheme="majorBidi"/>
          <w:sz w:val="24"/>
          <w:szCs w:val="24"/>
        </w:rPr>
        <w:t>cell-</w:t>
      </w:r>
      <w:r w:rsidRPr="001069D7">
        <w:rPr>
          <w:rFonts w:asciiTheme="majorBidi" w:hAnsiTheme="majorBidi" w:cstheme="majorBidi"/>
          <w:sz w:val="24"/>
          <w:szCs w:val="24"/>
        </w:rPr>
        <w:t xml:space="preserve">cycle progression </w:t>
      </w:r>
      <w:r>
        <w:rPr>
          <w:rFonts w:asciiTheme="majorBidi" w:hAnsiTheme="majorBidi" w:cstheme="majorBidi"/>
          <w:sz w:val="24"/>
          <w:szCs w:val="24"/>
        </w:rPr>
        <w:t>(</w:t>
      </w:r>
      <w:proofErr w:type="spellStart"/>
      <w:r w:rsidRPr="001069D7">
        <w:rPr>
          <w:rFonts w:asciiTheme="majorBidi" w:hAnsiTheme="majorBidi" w:cstheme="majorBidi"/>
          <w:sz w:val="24"/>
          <w:szCs w:val="24"/>
        </w:rPr>
        <w:t>propidium</w:t>
      </w:r>
      <w:proofErr w:type="spellEnd"/>
      <w:r w:rsidRPr="001069D7">
        <w:rPr>
          <w:rFonts w:asciiTheme="majorBidi" w:hAnsiTheme="majorBidi" w:cstheme="majorBidi"/>
          <w:sz w:val="24"/>
          <w:szCs w:val="24"/>
        </w:rPr>
        <w:t xml:space="preserve"> iodide (PI) </w:t>
      </w:r>
      <w:r>
        <w:rPr>
          <w:rFonts w:asciiTheme="majorBidi" w:hAnsiTheme="majorBidi" w:cstheme="majorBidi"/>
          <w:sz w:val="24"/>
          <w:szCs w:val="24"/>
        </w:rPr>
        <w:t xml:space="preserve">staining </w:t>
      </w:r>
      <w:r w:rsidRPr="001069D7">
        <w:rPr>
          <w:rFonts w:asciiTheme="majorBidi" w:hAnsiTheme="majorBidi" w:cstheme="majorBidi"/>
          <w:sz w:val="24"/>
          <w:szCs w:val="24"/>
        </w:rPr>
        <w:t>and flow cytometry</w:t>
      </w:r>
      <w:r>
        <w:rPr>
          <w:rFonts w:asciiTheme="majorBidi" w:hAnsiTheme="majorBidi" w:cstheme="majorBidi"/>
          <w:sz w:val="24"/>
          <w:szCs w:val="24"/>
        </w:rPr>
        <w:t>) and apoptosis (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NucView-caspase-</w:t>
      </w:r>
      <w:r w:rsidRPr="001069D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3 assay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and</w:t>
      </w:r>
      <w:r w:rsidRPr="001069D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1069D7">
        <w:rPr>
          <w:rFonts w:asciiTheme="majorBidi" w:hAnsiTheme="majorBidi" w:cstheme="majorBidi"/>
          <w:sz w:val="24"/>
          <w:szCs w:val="24"/>
        </w:rPr>
        <w:t>Hoechst 33342/PI staining</w:t>
      </w:r>
      <w:r>
        <w:rPr>
          <w:rFonts w:asciiTheme="majorBidi" w:hAnsiTheme="majorBidi" w:cstheme="majorBidi"/>
          <w:sz w:val="24"/>
          <w:szCs w:val="24"/>
        </w:rPr>
        <w:t xml:space="preserve">). The effects of these combinations on the apoptotic pathway (caspases-3, -8 and -9 </w:t>
      </w:r>
      <w:proofErr w:type="spellStart"/>
      <w:r>
        <w:rPr>
          <w:rFonts w:asciiTheme="majorBidi" w:hAnsiTheme="majorBidi" w:cstheme="majorBidi"/>
          <w:sz w:val="24"/>
          <w:szCs w:val="24"/>
        </w:rPr>
        <w:t>Glo</w:t>
      </w:r>
      <w:r>
        <w:rPr>
          <w:rFonts w:asciiTheme="majorBidi" w:hAnsiTheme="majorBidi" w:cstheme="majorBidi"/>
          <w:iCs/>
          <w:sz w:val="24"/>
          <w:szCs w:val="24"/>
        </w:rPr>
        <w:t>®</w:t>
      </w:r>
      <w:r w:rsidRPr="001069D7">
        <w:rPr>
          <w:rFonts w:asciiTheme="majorBidi" w:hAnsiTheme="majorBidi" w:cstheme="majorBidi"/>
          <w:iCs/>
          <w:sz w:val="24"/>
          <w:szCs w:val="24"/>
        </w:rPr>
        <w:t>luminescent</w:t>
      </w:r>
      <w:proofErr w:type="spellEnd"/>
      <w:r w:rsidRPr="001069D7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Pr="001069D7">
        <w:rPr>
          <w:rFonts w:asciiTheme="majorBidi" w:hAnsiTheme="majorBidi" w:cstheme="majorBidi"/>
          <w:sz w:val="24"/>
          <w:szCs w:val="24"/>
        </w:rPr>
        <w:t>assays</w:t>
      </w:r>
      <w:r>
        <w:rPr>
          <w:rFonts w:asciiTheme="majorBidi" w:hAnsiTheme="majorBidi" w:cstheme="majorBidi"/>
          <w:sz w:val="24"/>
          <w:szCs w:val="24"/>
        </w:rPr>
        <w:t xml:space="preserve">), </w:t>
      </w:r>
      <w:r w:rsidRPr="001069D7">
        <w:rPr>
          <w:rFonts w:asciiTheme="majorBidi" w:hAnsiTheme="majorBidi" w:cstheme="majorBidi"/>
          <w:sz w:val="24"/>
          <w:szCs w:val="24"/>
        </w:rPr>
        <w:t xml:space="preserve">glutathione levels </w:t>
      </w:r>
      <w:r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GSH-</w:t>
      </w:r>
      <w:proofErr w:type="spellStart"/>
      <w:r>
        <w:rPr>
          <w:rFonts w:asciiTheme="majorBidi" w:hAnsiTheme="majorBidi" w:cstheme="majorBidi"/>
          <w:color w:val="000000" w:themeColor="text1"/>
          <w:sz w:val="24"/>
          <w:szCs w:val="24"/>
        </w:rPr>
        <w:t>Glo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>™-glutathione a</w:t>
      </w:r>
      <w:r w:rsidRPr="001069D7">
        <w:rPr>
          <w:rFonts w:asciiTheme="majorBidi" w:hAnsiTheme="majorBidi" w:cstheme="majorBidi"/>
          <w:color w:val="000000" w:themeColor="text1"/>
          <w:sz w:val="24"/>
          <w:szCs w:val="24"/>
        </w:rPr>
        <w:t>ssay</w:t>
      </w:r>
      <w:r w:rsidRPr="001069D7">
        <w:rPr>
          <w:rFonts w:asciiTheme="majorBidi" w:hAnsiTheme="majorBidi" w:cstheme="majorBidi"/>
          <w:sz w:val="24"/>
          <w:szCs w:val="24"/>
        </w:rPr>
        <w:t xml:space="preserve"> and </w:t>
      </w:r>
      <w:r>
        <w:rPr>
          <w:rStyle w:val="mw-headline"/>
          <w:rFonts w:asciiTheme="majorBidi" w:hAnsiTheme="majorBidi" w:cstheme="majorBidi"/>
          <w:sz w:val="24"/>
          <w:szCs w:val="24"/>
        </w:rPr>
        <w:t>cell tracker™ green-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5-chloromethylfluorescein-d</w:t>
      </w:r>
      <w:r w:rsidRPr="001069D7">
        <w:rPr>
          <w:rFonts w:asciiTheme="majorBidi" w:hAnsiTheme="majorBidi" w:cstheme="majorBidi"/>
          <w:color w:val="000000" w:themeColor="text1"/>
          <w:sz w:val="24"/>
          <w:szCs w:val="24"/>
        </w:rPr>
        <w:t>iacetate</w:t>
      </w:r>
      <w:r>
        <w:rPr>
          <w:rStyle w:val="mw-headline"/>
          <w:rFonts w:asciiTheme="majorBidi" w:hAnsiTheme="majorBidi" w:cstheme="majorBidi"/>
          <w:sz w:val="24"/>
          <w:szCs w:val="24"/>
        </w:rPr>
        <w:t>-</w:t>
      </w:r>
      <w:r w:rsidRPr="001069D7">
        <w:rPr>
          <w:rStyle w:val="mw-headline"/>
          <w:rFonts w:asciiTheme="majorBidi" w:hAnsiTheme="majorBidi" w:cstheme="majorBidi"/>
          <w:sz w:val="24"/>
          <w:szCs w:val="24"/>
        </w:rPr>
        <w:t>glutathione staining</w:t>
      </w:r>
      <w:r>
        <w:rPr>
          <w:rStyle w:val="mw-headline"/>
          <w:rFonts w:asciiTheme="majorBidi" w:hAnsiTheme="majorBidi" w:cstheme="majorBidi"/>
          <w:sz w:val="24"/>
          <w:szCs w:val="24"/>
        </w:rPr>
        <w:t xml:space="preserve">) and </w:t>
      </w:r>
      <w:r w:rsidRPr="001069D7">
        <w:rPr>
          <w:rFonts w:asciiTheme="majorBidi" w:hAnsiTheme="majorBidi" w:cstheme="majorBidi"/>
          <w:sz w:val="24"/>
          <w:szCs w:val="24"/>
        </w:rPr>
        <w:t xml:space="preserve">DNA damage </w:t>
      </w:r>
      <w:r>
        <w:rPr>
          <w:rFonts w:asciiTheme="majorBidi" w:hAnsiTheme="majorBidi" w:cstheme="majorBidi"/>
          <w:sz w:val="24"/>
          <w:szCs w:val="24"/>
        </w:rPr>
        <w:t>(</w:t>
      </w:r>
      <w:r w:rsidRPr="001069D7">
        <w:rPr>
          <w:rFonts w:asciiTheme="majorBidi" w:eastAsiaTheme="minorHAnsi" w:hAnsiTheme="majorBidi" w:cstheme="majorBidi"/>
          <w:sz w:val="24"/>
          <w:szCs w:val="24"/>
          <w:lang w:eastAsia="en-US"/>
        </w:rPr>
        <w:t>Alexa Fluor® 647 Mouse anti-H2AX staining</w:t>
      </w:r>
      <w:r>
        <w:rPr>
          <w:rFonts w:asciiTheme="majorBidi" w:eastAsiaTheme="minorHAnsi" w:hAnsiTheme="majorBidi" w:cstheme="majorBidi"/>
          <w:sz w:val="24"/>
          <w:szCs w:val="24"/>
          <w:lang w:eastAsia="en-US"/>
        </w:rPr>
        <w:t>)</w:t>
      </w:r>
      <w:r w:rsidRPr="0000609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were also determined</w:t>
      </w:r>
      <w:r>
        <w:rPr>
          <w:rStyle w:val="mw-headline"/>
          <w:rFonts w:asciiTheme="majorBidi" w:hAnsiTheme="majorBidi" w:cstheme="majorBidi"/>
          <w:sz w:val="24"/>
          <w:szCs w:val="24"/>
        </w:rPr>
        <w:t>.</w:t>
      </w:r>
    </w:p>
    <w:p w:rsidR="00BE05A9" w:rsidRPr="00BE05A9" w:rsidRDefault="00BE05A9" w:rsidP="00BE05A9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1069D7">
        <w:rPr>
          <w:rFonts w:asciiTheme="majorBidi" w:hAnsiTheme="majorBidi" w:cstheme="majorBidi"/>
          <w:b/>
          <w:bCs/>
          <w:sz w:val="24"/>
          <w:szCs w:val="24"/>
        </w:rPr>
        <w:t xml:space="preserve">Results: </w:t>
      </w:r>
      <w:r>
        <w:rPr>
          <w:rFonts w:asciiTheme="majorBidi" w:hAnsiTheme="majorBidi" w:cstheme="majorBidi"/>
          <w:bCs/>
          <w:sz w:val="24"/>
          <w:szCs w:val="24"/>
        </w:rPr>
        <w:t>D</w:t>
      </w:r>
      <w:r w:rsidRPr="001069D7">
        <w:rPr>
          <w:rFonts w:asciiTheme="majorBidi" w:hAnsiTheme="majorBidi" w:cstheme="majorBidi"/>
          <w:bCs/>
          <w:sz w:val="24"/>
          <w:szCs w:val="24"/>
        </w:rPr>
        <w:t xml:space="preserve">oxorubicin and etoposide </w:t>
      </w:r>
      <w:r>
        <w:rPr>
          <w:rFonts w:asciiTheme="majorBidi" w:hAnsiTheme="majorBidi" w:cstheme="majorBidi"/>
          <w:bCs/>
          <w:sz w:val="24"/>
          <w:szCs w:val="24"/>
        </w:rPr>
        <w:t xml:space="preserve">in combination with polyphenols </w:t>
      </w:r>
      <w:r w:rsidRPr="001069D7">
        <w:rPr>
          <w:rFonts w:asciiTheme="majorBidi" w:hAnsiTheme="majorBidi" w:cstheme="majorBidi"/>
          <w:bCs/>
          <w:sz w:val="24"/>
          <w:szCs w:val="24"/>
        </w:rPr>
        <w:t>synergistic</w:t>
      </w:r>
      <w:r>
        <w:rPr>
          <w:rFonts w:asciiTheme="majorBidi" w:hAnsiTheme="majorBidi" w:cstheme="majorBidi"/>
          <w:bCs/>
          <w:sz w:val="24"/>
          <w:szCs w:val="24"/>
        </w:rPr>
        <w:t>ally</w:t>
      </w:r>
      <w:r w:rsidRPr="001069D7">
        <w:rPr>
          <w:rFonts w:asciiTheme="majorBidi" w:hAnsiTheme="majorBidi" w:cstheme="majorBidi"/>
          <w:bCs/>
          <w:sz w:val="24"/>
          <w:szCs w:val="24"/>
        </w:rPr>
        <w:t xml:space="preserve"> reduc</w:t>
      </w:r>
      <w:r>
        <w:rPr>
          <w:rFonts w:asciiTheme="majorBidi" w:hAnsiTheme="majorBidi" w:cstheme="majorBidi"/>
          <w:bCs/>
          <w:sz w:val="24"/>
          <w:szCs w:val="24"/>
        </w:rPr>
        <w:t xml:space="preserve">ed </w:t>
      </w:r>
      <w:r w:rsidRPr="001069D7">
        <w:rPr>
          <w:rFonts w:asciiTheme="majorBidi" w:hAnsiTheme="majorBidi" w:cstheme="majorBidi"/>
          <w:bCs/>
          <w:sz w:val="24"/>
          <w:szCs w:val="24"/>
        </w:rPr>
        <w:t>ATP levels, induc</w:t>
      </w:r>
      <w:r>
        <w:rPr>
          <w:rFonts w:asciiTheme="majorBidi" w:hAnsiTheme="majorBidi" w:cstheme="majorBidi"/>
          <w:bCs/>
          <w:sz w:val="24"/>
          <w:szCs w:val="24"/>
        </w:rPr>
        <w:t>ed</w:t>
      </w:r>
      <w:r w:rsidRPr="001069D7">
        <w:rPr>
          <w:rFonts w:asciiTheme="majorBidi" w:hAnsiTheme="majorBidi" w:cstheme="majorBidi"/>
          <w:bCs/>
          <w:sz w:val="24"/>
          <w:szCs w:val="24"/>
        </w:rPr>
        <w:t xml:space="preserve"> apoptosis and increas</w:t>
      </w:r>
      <w:r>
        <w:rPr>
          <w:rFonts w:asciiTheme="majorBidi" w:hAnsiTheme="majorBidi" w:cstheme="majorBidi"/>
          <w:bCs/>
          <w:sz w:val="24"/>
          <w:szCs w:val="24"/>
        </w:rPr>
        <w:t>ed</w:t>
      </w:r>
      <w:r w:rsidRPr="001069D7">
        <w:rPr>
          <w:rFonts w:asciiTheme="majorBidi" w:hAnsiTheme="majorBidi" w:cstheme="majorBidi"/>
          <w:bCs/>
          <w:sz w:val="24"/>
          <w:szCs w:val="24"/>
        </w:rPr>
        <w:t xml:space="preserve"> S</w:t>
      </w:r>
      <w:r>
        <w:rPr>
          <w:rFonts w:asciiTheme="majorBidi" w:hAnsiTheme="majorBidi" w:cstheme="majorBidi"/>
          <w:bCs/>
          <w:sz w:val="24"/>
          <w:szCs w:val="24"/>
        </w:rPr>
        <w:t>-</w:t>
      </w:r>
      <w:r w:rsidRPr="001069D7">
        <w:rPr>
          <w:rFonts w:asciiTheme="majorBidi" w:hAnsiTheme="majorBidi" w:cstheme="majorBidi"/>
          <w:bCs/>
          <w:sz w:val="24"/>
          <w:szCs w:val="24"/>
        </w:rPr>
        <w:t xml:space="preserve"> and/or G</w:t>
      </w:r>
      <w:r w:rsidRPr="001069D7">
        <w:rPr>
          <w:rFonts w:asciiTheme="majorBidi" w:hAnsiTheme="majorBidi" w:cstheme="majorBidi"/>
          <w:bCs/>
          <w:sz w:val="24"/>
          <w:szCs w:val="24"/>
          <w:vertAlign w:val="subscript"/>
        </w:rPr>
        <w:t>2</w:t>
      </w:r>
      <w:r w:rsidRPr="001069D7">
        <w:rPr>
          <w:rFonts w:asciiTheme="majorBidi" w:hAnsiTheme="majorBidi" w:cstheme="majorBidi"/>
          <w:bCs/>
          <w:sz w:val="24"/>
          <w:szCs w:val="24"/>
        </w:rPr>
        <w:t>/M</w:t>
      </w:r>
      <w:r>
        <w:rPr>
          <w:rFonts w:asciiTheme="majorBidi" w:hAnsiTheme="majorBidi" w:cstheme="majorBidi"/>
          <w:bCs/>
          <w:sz w:val="24"/>
          <w:szCs w:val="24"/>
        </w:rPr>
        <w:t>-</w:t>
      </w:r>
      <w:r w:rsidRPr="001069D7">
        <w:rPr>
          <w:rFonts w:asciiTheme="majorBidi" w:hAnsiTheme="majorBidi" w:cstheme="majorBidi"/>
          <w:bCs/>
          <w:sz w:val="24"/>
          <w:szCs w:val="24"/>
        </w:rPr>
        <w:t xml:space="preserve">phase </w:t>
      </w:r>
      <w:r>
        <w:rPr>
          <w:rFonts w:asciiTheme="majorBidi" w:hAnsiTheme="majorBidi" w:cstheme="majorBidi"/>
          <w:bCs/>
          <w:sz w:val="24"/>
          <w:szCs w:val="24"/>
        </w:rPr>
        <w:t xml:space="preserve">cell-cycle arrest </w:t>
      </w:r>
      <w:r w:rsidRPr="001069D7">
        <w:rPr>
          <w:rFonts w:asciiTheme="majorBidi" w:hAnsiTheme="majorBidi" w:cstheme="majorBidi"/>
          <w:bCs/>
          <w:sz w:val="24"/>
          <w:szCs w:val="24"/>
        </w:rPr>
        <w:t>in lymphoid leukaemia cell lines</w:t>
      </w:r>
      <w:r>
        <w:rPr>
          <w:rFonts w:asciiTheme="majorBidi" w:hAnsiTheme="majorBidi" w:cstheme="majorBidi"/>
          <w:bCs/>
          <w:sz w:val="24"/>
          <w:szCs w:val="24"/>
        </w:rPr>
        <w:t>.</w:t>
      </w:r>
      <w:r w:rsidRPr="001069D7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Pr="002D3F08">
        <w:rPr>
          <w:rFonts w:asciiTheme="majorBidi" w:hAnsiTheme="majorBidi" w:cstheme="majorBidi"/>
          <w:bCs/>
          <w:sz w:val="24"/>
          <w:szCs w:val="24"/>
        </w:rPr>
        <w:t>In the myeloid cell lines doxorubicin and etoposide displayed differential effects</w:t>
      </w:r>
      <w:r>
        <w:rPr>
          <w:rFonts w:asciiTheme="majorBidi" w:hAnsiTheme="majorBidi" w:cstheme="majorBidi"/>
          <w:bCs/>
          <w:sz w:val="24"/>
          <w:szCs w:val="24"/>
        </w:rPr>
        <w:t>.</w:t>
      </w:r>
      <w:r w:rsidRPr="002D3F08">
        <w:rPr>
          <w:rFonts w:asciiTheme="majorBidi" w:hAnsiTheme="majorBidi" w:cstheme="majorBidi"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Cs/>
          <w:sz w:val="24"/>
          <w:szCs w:val="24"/>
        </w:rPr>
        <w:t xml:space="preserve">Doxorubicin had a </w:t>
      </w:r>
      <w:r w:rsidRPr="002D3F08">
        <w:rPr>
          <w:rFonts w:asciiTheme="majorBidi" w:hAnsiTheme="majorBidi" w:cstheme="majorBidi"/>
          <w:bCs/>
          <w:sz w:val="24"/>
          <w:szCs w:val="24"/>
        </w:rPr>
        <w:t xml:space="preserve">synergistic or additive effect when combined with </w:t>
      </w:r>
      <w:r>
        <w:rPr>
          <w:rFonts w:asciiTheme="majorBidi" w:hAnsiTheme="majorBidi" w:cstheme="majorBidi"/>
          <w:bCs/>
          <w:sz w:val="24"/>
          <w:szCs w:val="24"/>
        </w:rPr>
        <w:t xml:space="preserve">quercetin, </w:t>
      </w:r>
      <w:proofErr w:type="spellStart"/>
      <w:r>
        <w:rPr>
          <w:rFonts w:asciiTheme="majorBidi" w:hAnsiTheme="majorBidi" w:cstheme="majorBidi"/>
          <w:bCs/>
          <w:sz w:val="24"/>
          <w:szCs w:val="24"/>
        </w:rPr>
        <w:t>apigenin</w:t>
      </w:r>
      <w:proofErr w:type="spellEnd"/>
      <w:r>
        <w:rPr>
          <w:rFonts w:asciiTheme="majorBidi" w:hAnsiTheme="majorBidi" w:cstheme="majorBidi"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Cs/>
          <w:sz w:val="24"/>
          <w:szCs w:val="24"/>
        </w:rPr>
        <w:t>emodin</w:t>
      </w:r>
      <w:proofErr w:type="spellEnd"/>
      <w:r>
        <w:rPr>
          <w:rFonts w:asciiTheme="majorBidi" w:hAnsiTheme="majorBidi" w:cstheme="majorBidi"/>
          <w:bCs/>
          <w:sz w:val="24"/>
          <w:szCs w:val="24"/>
        </w:rPr>
        <w:t>,</w:t>
      </w:r>
      <w:r w:rsidRPr="002D3F08">
        <w:rPr>
          <w:rFonts w:asciiTheme="majorBidi" w:hAnsiTheme="majorBidi" w:cstheme="majorBidi"/>
          <w:bCs/>
          <w:sz w:val="24"/>
          <w:szCs w:val="24"/>
        </w:rPr>
        <w:t xml:space="preserve"> and </w:t>
      </w:r>
      <w:r>
        <w:rPr>
          <w:rFonts w:asciiTheme="majorBidi" w:hAnsiTheme="majorBidi" w:cstheme="majorBidi"/>
          <w:bCs/>
          <w:sz w:val="24"/>
          <w:szCs w:val="24"/>
        </w:rPr>
        <w:t xml:space="preserve">cis-stilbene, but had an antagonistic effect when combined with </w:t>
      </w:r>
      <w:proofErr w:type="spellStart"/>
      <w:r>
        <w:rPr>
          <w:rFonts w:asciiTheme="majorBidi" w:hAnsiTheme="majorBidi" w:cstheme="majorBidi"/>
          <w:bCs/>
          <w:sz w:val="24"/>
          <w:szCs w:val="24"/>
        </w:rPr>
        <w:t>rhein</w:t>
      </w:r>
      <w:proofErr w:type="spellEnd"/>
      <w:r>
        <w:rPr>
          <w:rFonts w:asciiTheme="majorBidi" w:hAnsiTheme="majorBidi" w:cstheme="majorBidi"/>
          <w:bCs/>
          <w:sz w:val="24"/>
          <w:szCs w:val="24"/>
        </w:rPr>
        <w:t xml:space="preserve">. Combination treatment caused a </w:t>
      </w:r>
      <w:r w:rsidRPr="001069D7">
        <w:rPr>
          <w:rFonts w:asciiTheme="majorBidi" w:hAnsiTheme="majorBidi" w:cstheme="majorBidi"/>
          <w:bCs/>
          <w:sz w:val="24"/>
          <w:szCs w:val="24"/>
        </w:rPr>
        <w:t xml:space="preserve">synergistic down regulation of glutathione (GSH) levels and </w:t>
      </w:r>
      <w:r>
        <w:rPr>
          <w:rFonts w:asciiTheme="majorBidi" w:hAnsiTheme="majorBidi" w:cstheme="majorBidi"/>
          <w:bCs/>
          <w:sz w:val="24"/>
          <w:szCs w:val="24"/>
        </w:rPr>
        <w:t>increased</w:t>
      </w:r>
      <w:r w:rsidRPr="001069D7">
        <w:rPr>
          <w:rFonts w:asciiTheme="majorBidi" w:hAnsiTheme="majorBidi" w:cstheme="majorBidi"/>
          <w:bCs/>
          <w:sz w:val="24"/>
          <w:szCs w:val="24"/>
        </w:rPr>
        <w:t xml:space="preserve"> DNA damage</w:t>
      </w:r>
      <w:r>
        <w:rPr>
          <w:rFonts w:asciiTheme="majorBidi" w:hAnsiTheme="majorBidi" w:cstheme="majorBidi"/>
          <w:bCs/>
          <w:sz w:val="24"/>
          <w:szCs w:val="24"/>
        </w:rPr>
        <w:t xml:space="preserve">, driving </w:t>
      </w:r>
      <w:r w:rsidRPr="001069D7">
        <w:rPr>
          <w:rFonts w:asciiTheme="majorBidi" w:hAnsiTheme="majorBidi" w:cstheme="majorBidi"/>
          <w:bCs/>
          <w:sz w:val="24"/>
          <w:szCs w:val="24"/>
        </w:rPr>
        <w:t>apoptosis</w:t>
      </w:r>
      <w:r>
        <w:rPr>
          <w:rFonts w:asciiTheme="majorBidi" w:hAnsiTheme="majorBidi" w:cstheme="majorBidi"/>
          <w:bCs/>
          <w:sz w:val="24"/>
          <w:szCs w:val="24"/>
        </w:rPr>
        <w:t xml:space="preserve"> via caspase 8 and 9 activation.</w:t>
      </w:r>
      <w:r w:rsidRPr="001069D7">
        <w:rPr>
          <w:rFonts w:asciiTheme="majorBidi" w:hAnsiTheme="majorBidi" w:cstheme="majorBidi"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Cs/>
          <w:sz w:val="24"/>
          <w:szCs w:val="24"/>
        </w:rPr>
        <w:t xml:space="preserve">However, in myeloid cells were an </w:t>
      </w:r>
      <w:r w:rsidRPr="001069D7">
        <w:rPr>
          <w:rFonts w:asciiTheme="majorBidi" w:hAnsiTheme="majorBidi" w:cstheme="majorBidi"/>
          <w:bCs/>
          <w:sz w:val="24"/>
          <w:szCs w:val="24"/>
        </w:rPr>
        <w:t>antagonist</w:t>
      </w:r>
      <w:r>
        <w:rPr>
          <w:rFonts w:asciiTheme="majorBidi" w:hAnsiTheme="majorBidi" w:cstheme="majorBidi"/>
          <w:bCs/>
          <w:sz w:val="24"/>
          <w:szCs w:val="24"/>
        </w:rPr>
        <w:t xml:space="preserve"> effect this was associated with an </w:t>
      </w:r>
      <w:r w:rsidRPr="001069D7">
        <w:rPr>
          <w:rFonts w:asciiTheme="majorBidi" w:hAnsiTheme="majorBidi" w:cstheme="majorBidi"/>
          <w:bCs/>
          <w:sz w:val="24"/>
          <w:szCs w:val="24"/>
        </w:rPr>
        <w:t>up-regulation of GSH levels, a reduction in DNA damage and apoptosis</w:t>
      </w:r>
      <w:r>
        <w:rPr>
          <w:rFonts w:asciiTheme="majorBidi" w:hAnsiTheme="majorBidi" w:cstheme="majorBidi"/>
          <w:bCs/>
          <w:sz w:val="24"/>
          <w:szCs w:val="24"/>
        </w:rPr>
        <w:t xml:space="preserve">. </w:t>
      </w:r>
    </w:p>
    <w:p w:rsidR="0073685C" w:rsidRDefault="00BE05A9" w:rsidP="00BE05A9">
      <w:pPr>
        <w:spacing w:line="360" w:lineRule="auto"/>
        <w:jc w:val="both"/>
        <w:rPr>
          <w:rFonts w:asciiTheme="majorBidi" w:hAnsiTheme="majorBidi" w:cstheme="majorBidi"/>
          <w:bCs/>
          <w:sz w:val="23"/>
          <w:szCs w:val="23"/>
        </w:rPr>
      </w:pPr>
      <w:r w:rsidRPr="007D13D2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Conclusion: </w:t>
      </w:r>
      <w:r>
        <w:rPr>
          <w:rFonts w:asciiTheme="majorBidi" w:hAnsiTheme="majorBidi" w:cstheme="majorBidi"/>
          <w:sz w:val="24"/>
          <w:szCs w:val="24"/>
        </w:rPr>
        <w:t>D</w:t>
      </w:r>
      <w:r w:rsidRPr="007D13D2">
        <w:rPr>
          <w:rFonts w:asciiTheme="majorBidi" w:hAnsiTheme="majorBidi" w:cstheme="majorBidi"/>
          <w:sz w:val="24"/>
          <w:szCs w:val="24"/>
        </w:rPr>
        <w:t xml:space="preserve">oxorubicin and etoposide </w:t>
      </w:r>
      <w:r>
        <w:rPr>
          <w:rFonts w:asciiTheme="majorBidi" w:hAnsiTheme="majorBidi" w:cstheme="majorBidi"/>
          <w:sz w:val="24"/>
          <w:szCs w:val="24"/>
        </w:rPr>
        <w:t xml:space="preserve">activity </w:t>
      </w:r>
      <w:r w:rsidRPr="007D13D2">
        <w:rPr>
          <w:rFonts w:asciiTheme="majorBidi" w:hAnsiTheme="majorBidi" w:cstheme="majorBidi"/>
          <w:sz w:val="24"/>
          <w:szCs w:val="24"/>
        </w:rPr>
        <w:t>can be enhanced by polyphenols</w:t>
      </w:r>
      <w:r>
        <w:rPr>
          <w:rFonts w:asciiTheme="majorBidi" w:hAnsiTheme="majorBidi" w:cstheme="majorBidi"/>
          <w:sz w:val="24"/>
          <w:szCs w:val="24"/>
        </w:rPr>
        <w:t>, particularly in l</w:t>
      </w:r>
      <w:r w:rsidRPr="007D13D2">
        <w:rPr>
          <w:rFonts w:asciiTheme="majorBidi" w:hAnsiTheme="majorBidi" w:cstheme="majorBidi"/>
          <w:sz w:val="24"/>
          <w:szCs w:val="24"/>
        </w:rPr>
        <w:t>ymphoid leukaemia</w:t>
      </w:r>
      <w:r>
        <w:rPr>
          <w:rFonts w:asciiTheme="majorBidi" w:hAnsiTheme="majorBidi" w:cstheme="majorBidi"/>
          <w:sz w:val="24"/>
          <w:szCs w:val="24"/>
        </w:rPr>
        <w:t xml:space="preserve"> cells, although effects </w:t>
      </w:r>
      <w:r w:rsidRPr="009645ED">
        <w:rPr>
          <w:rFonts w:asciiTheme="majorBidi" w:hAnsiTheme="majorBidi" w:cstheme="majorBidi"/>
          <w:sz w:val="24"/>
          <w:szCs w:val="24"/>
        </w:rPr>
        <w:t>w</w:t>
      </w:r>
      <w:r>
        <w:rPr>
          <w:rFonts w:asciiTheme="majorBidi" w:hAnsiTheme="majorBidi" w:cstheme="majorBidi"/>
          <w:sz w:val="24"/>
          <w:szCs w:val="24"/>
        </w:rPr>
        <w:t xml:space="preserve">ere </w:t>
      </w:r>
      <w:r w:rsidRPr="009645ED">
        <w:rPr>
          <w:rFonts w:asciiTheme="majorBidi" w:hAnsiTheme="majorBidi" w:cstheme="majorBidi"/>
          <w:bCs/>
          <w:sz w:val="23"/>
          <w:szCs w:val="23"/>
        </w:rPr>
        <w:t>strongly dependent on type of cell line</w:t>
      </w:r>
      <w:r>
        <w:rPr>
          <w:rFonts w:asciiTheme="majorBidi" w:hAnsiTheme="majorBidi" w:cstheme="majorBidi"/>
          <w:bCs/>
          <w:sz w:val="23"/>
          <w:szCs w:val="23"/>
        </w:rPr>
        <w:t>, with some interactions were antagonistic in myeloid cell lines.</w:t>
      </w:r>
    </w:p>
    <w:p w:rsidR="00D32510" w:rsidRDefault="00D32510" w:rsidP="00BE05A9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650FB5" w:rsidRDefault="00650FB5" w:rsidP="00BE05A9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650FB5" w:rsidRDefault="00650FB5" w:rsidP="00BE05A9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650FB5" w:rsidRDefault="00650FB5" w:rsidP="00BE05A9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650FB5" w:rsidRDefault="00650FB5" w:rsidP="00BE05A9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650FB5" w:rsidRDefault="00650FB5" w:rsidP="00BE05A9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650FB5" w:rsidRDefault="00650FB5" w:rsidP="00BE05A9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650FB5" w:rsidRDefault="00650FB5" w:rsidP="00BE05A9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5525CC" w:rsidRDefault="005525CC" w:rsidP="00BE05A9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5525CC" w:rsidRDefault="005525CC" w:rsidP="00BE05A9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p w:rsidR="00650FB5" w:rsidRPr="00BE05A9" w:rsidRDefault="00650FB5" w:rsidP="00BE05A9">
      <w:pPr>
        <w:spacing w:line="36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sectPr w:rsidR="00650FB5" w:rsidRPr="00BE05A9" w:rsidSect="00D94C38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985" w:rsidRDefault="00921985" w:rsidP="00B94DF7">
      <w:pPr>
        <w:spacing w:after="0" w:line="240" w:lineRule="auto"/>
      </w:pPr>
      <w:r>
        <w:separator/>
      </w:r>
    </w:p>
  </w:endnote>
  <w:endnote w:type="continuationSeparator" w:id="0">
    <w:p w:rsidR="00921985" w:rsidRDefault="00921985" w:rsidP="00B94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243414"/>
      <w:docPartObj>
        <w:docPartGallery w:val="Page Numbers (Bottom of Page)"/>
        <w:docPartUnique/>
      </w:docPartObj>
    </w:sdtPr>
    <w:sdtEndPr/>
    <w:sdtContent>
      <w:p w:rsidR="00F015FA" w:rsidRDefault="008D2F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28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15FA" w:rsidRDefault="00F015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985" w:rsidRDefault="00921985" w:rsidP="00B94DF7">
      <w:pPr>
        <w:spacing w:after="0" w:line="240" w:lineRule="auto"/>
      </w:pPr>
      <w:r>
        <w:separator/>
      </w:r>
    </w:p>
  </w:footnote>
  <w:footnote w:type="continuationSeparator" w:id="0">
    <w:p w:rsidR="00921985" w:rsidRDefault="00921985" w:rsidP="00B94D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054"/>
    <w:rsid w:val="00073035"/>
    <w:rsid w:val="000933D2"/>
    <w:rsid w:val="000B7C79"/>
    <w:rsid w:val="001B47C8"/>
    <w:rsid w:val="002147EA"/>
    <w:rsid w:val="0022210A"/>
    <w:rsid w:val="00232583"/>
    <w:rsid w:val="002E01C4"/>
    <w:rsid w:val="002E3743"/>
    <w:rsid w:val="003005B8"/>
    <w:rsid w:val="00302C18"/>
    <w:rsid w:val="00326D0D"/>
    <w:rsid w:val="003972A7"/>
    <w:rsid w:val="00420602"/>
    <w:rsid w:val="00421054"/>
    <w:rsid w:val="00434E5C"/>
    <w:rsid w:val="00436BD6"/>
    <w:rsid w:val="004E4DEC"/>
    <w:rsid w:val="004F33FD"/>
    <w:rsid w:val="00503C43"/>
    <w:rsid w:val="005525CC"/>
    <w:rsid w:val="00594767"/>
    <w:rsid w:val="0062189F"/>
    <w:rsid w:val="00650FB5"/>
    <w:rsid w:val="006828AA"/>
    <w:rsid w:val="006A5C14"/>
    <w:rsid w:val="00716846"/>
    <w:rsid w:val="00731447"/>
    <w:rsid w:val="0073685C"/>
    <w:rsid w:val="00787ACC"/>
    <w:rsid w:val="007E345A"/>
    <w:rsid w:val="007F1EEF"/>
    <w:rsid w:val="00821E73"/>
    <w:rsid w:val="00840838"/>
    <w:rsid w:val="008B7E0A"/>
    <w:rsid w:val="008D2FAE"/>
    <w:rsid w:val="00921985"/>
    <w:rsid w:val="00925999"/>
    <w:rsid w:val="009428DF"/>
    <w:rsid w:val="00952113"/>
    <w:rsid w:val="009E0FC3"/>
    <w:rsid w:val="00A378EA"/>
    <w:rsid w:val="00A6555E"/>
    <w:rsid w:val="00AC011F"/>
    <w:rsid w:val="00B75FAF"/>
    <w:rsid w:val="00B94DF7"/>
    <w:rsid w:val="00BE05A9"/>
    <w:rsid w:val="00BF1887"/>
    <w:rsid w:val="00C307EA"/>
    <w:rsid w:val="00C37F41"/>
    <w:rsid w:val="00C46F8A"/>
    <w:rsid w:val="00C648C0"/>
    <w:rsid w:val="00C77193"/>
    <w:rsid w:val="00CD40F7"/>
    <w:rsid w:val="00D32510"/>
    <w:rsid w:val="00D94C38"/>
    <w:rsid w:val="00DD66FC"/>
    <w:rsid w:val="00E604F8"/>
    <w:rsid w:val="00E741B8"/>
    <w:rsid w:val="00F015FA"/>
    <w:rsid w:val="00F06E0A"/>
    <w:rsid w:val="00F16A29"/>
    <w:rsid w:val="00F41026"/>
    <w:rsid w:val="00F5328B"/>
    <w:rsid w:val="00FE43E5"/>
    <w:rsid w:val="00FF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350AAE-D7EC-49C1-9F56-C4CFECA74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DF7"/>
    <w:rPr>
      <w:rFonts w:eastAsiaTheme="minorEastAsia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w-headline">
    <w:name w:val="mw-headline"/>
    <w:basedOn w:val="DefaultParagraphFont"/>
    <w:rsid w:val="00B94DF7"/>
  </w:style>
  <w:style w:type="paragraph" w:styleId="Header">
    <w:name w:val="header"/>
    <w:basedOn w:val="Normal"/>
    <w:link w:val="HeaderChar"/>
    <w:uiPriority w:val="99"/>
    <w:semiHidden/>
    <w:unhideWhenUsed/>
    <w:rsid w:val="00B94D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94DF7"/>
    <w:rPr>
      <w:rFonts w:eastAsiaTheme="minorEastAsia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B94D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4DF7"/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A378EA"/>
    <w:rPr>
      <w:color w:val="0000CC"/>
      <w:u w:val="single"/>
    </w:rPr>
  </w:style>
  <w:style w:type="paragraph" w:styleId="ListParagraph">
    <w:name w:val="List Paragraph"/>
    <w:basedOn w:val="Normal"/>
    <w:uiPriority w:val="34"/>
    <w:qFormat/>
    <w:rsid w:val="0084083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E01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?term=Le%20Maitre%20CL%5bAuthor%5d&amp;cauthor=true&amp;cauthor_uid=23796248" TargetMode="External"/><Relationship Id="rId13" Type="http://schemas.openxmlformats.org/officeDocument/2006/relationships/hyperlink" Target="http://www.ncbi.nlm.nih.gov/pubmed?term=Jordan-Mahy%20N%5bAuthor%5d&amp;cauthor=true&amp;cauthor_uid=2379624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cbi.nlm.nih.gov/pubmed?term=Mahbub%20AA%5bAuthor%5d&amp;cauthor=true&amp;cauthor_uid=23796248" TargetMode="External"/><Relationship Id="rId12" Type="http://schemas.openxmlformats.org/officeDocument/2006/relationships/hyperlink" Target="http://www.ncbi.nlm.nih.gov/pubmed?term=Jordan-Mahy%20N%5bAuthor%5d&amp;cauthor=true&amp;cauthor_uid=23796248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ncbi.nlm.nih.gov/pubmed?term=Mahbub%20AA%5bAuthor%5d&amp;cauthor=true&amp;cauthor_uid=23796248" TargetMode="External"/><Relationship Id="rId11" Type="http://schemas.openxmlformats.org/officeDocument/2006/relationships/hyperlink" Target="http://www.ncbi.nlm.nih.gov/pubmed?term=Jordan-Mahy%20N%5bAuthor%5d&amp;cauthor=true&amp;cauthor_uid=23796248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ncbi.nlm.nih.gov/pubmed?term=Cross%20NA%5bAuthor%5d&amp;cauthor=true&amp;cauthor_uid=2379624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ncbi.nlm.nih.gov/pubmed?term=Haywood-Small%20SL%5bAuthor%5d&amp;cauthor=true&amp;cauthor_uid=2379624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Mahbub</dc:creator>
  <cp:lastModifiedBy>amani mahbub</cp:lastModifiedBy>
  <cp:revision>4</cp:revision>
  <dcterms:created xsi:type="dcterms:W3CDTF">2016-08-15T13:19:00Z</dcterms:created>
  <dcterms:modified xsi:type="dcterms:W3CDTF">2016-08-15T13:21:00Z</dcterms:modified>
</cp:coreProperties>
</file>