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>
  <w:body>
    <w:p>
      <w:pPr>
        <w:numPr>
          <w:ilvl w:val="0"/>
          <w:numId w:val="0"/>
        </w:numPr>
        <w:jc w:val="center"/>
        <w:spacing w:lineRule="auto" w:line="259" w:before="0" w:after="0"/>
        <w:ind w:right="0" w:firstLine="0"/>
        <w:rPr>
          <w:b w:val="1"/>
          <w:position w:val="0"/>
          <w:sz w:val="26"/>
          <w:szCs w:val="26"/>
          <w:rFonts w:ascii="Times New Roman" w:eastAsia="Times New Roman" w:hAnsi="Times New Roman" w:hint="default"/>
        </w:rPr>
      </w:pPr>
      <w:r>
        <w:rPr>
          <w:b w:val="1"/>
          <w:position w:val="0"/>
          <w:sz w:val="26"/>
          <w:szCs w:val="26"/>
          <w:rFonts w:ascii="Times New Roman" w:eastAsia="Times New Roman" w:hAnsi="Times New Roman" w:hint="default"/>
        </w:rPr>
        <w:t xml:space="preserve"> ANAEMIA   IN CANCER PATIENTS UNDERGOING RADIOTHERAPY: OUR </w:t>
      </w:r>
      <w:r>
        <w:rPr>
          <w:b w:val="1"/>
          <w:position w:val="0"/>
          <w:sz w:val="26"/>
          <w:szCs w:val="26"/>
          <w:rFonts w:ascii="Times New Roman" w:eastAsia="Times New Roman" w:hAnsi="Times New Roman" w:hint="default"/>
        </w:rPr>
        <w:t xml:space="preserve">EXPERIENCE AT THE NATIONAL HOSPITAL ABUJA, NIGERIA</w:t>
      </w:r>
    </w:p>
    <w:p>
      <w:pPr>
        <w:numPr>
          <w:ilvl w:val="0"/>
          <w:numId w:val="0"/>
        </w:numPr>
        <w:jc w:val="center"/>
        <w:spacing w:lineRule="auto" w:line="259" w:before="0" w:after="0"/>
        <w:ind w:right="0" w:firstLine="0"/>
        <w:rPr>
          <w:b w:val="1"/>
          <w:position w:val="0"/>
          <w:sz w:val="8"/>
          <w:szCs w:val="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259" w:before="0" w:after="0"/>
        <w:ind w:right="0" w:firstLine="0"/>
        <w:rPr>
          <w:b w:val="1"/>
          <w:position w:val="0"/>
          <w:sz w:val="26"/>
          <w:szCs w:val="26"/>
          <w:rFonts w:ascii="Times New Roman" w:eastAsia="Times New Roman" w:hAnsi="Times New Roman" w:hint="default"/>
        </w:rPr>
      </w:pPr>
      <w:r>
        <w:rPr>
          <w:b w:val="1"/>
          <w:position w:val="0"/>
          <w:sz w:val="26"/>
          <w:szCs w:val="26"/>
          <w:rFonts w:ascii="Times New Roman" w:eastAsia="Times New Roman" w:hAnsi="Times New Roman" w:hint="default"/>
        </w:rPr>
        <w:t xml:space="preserve">DR. CHINEDU S. ARUAH,</w:t>
      </w:r>
      <w:r>
        <w:rPr>
          <w:vertAlign w:val="superscript"/>
          <w:b w:val="1"/>
          <w:position w:val="0"/>
          <w:sz w:val="26"/>
          <w:szCs w:val="26"/>
          <w:rFonts w:ascii="Times New Roman" w:eastAsia="Times New Roman" w:hAnsi="Times New Roman" w:hint="default"/>
        </w:rPr>
        <w:t>1</w:t>
      </w:r>
      <w:r>
        <w:rPr>
          <w:b w:val="1"/>
          <w:position w:val="0"/>
          <w:sz w:val="26"/>
          <w:szCs w:val="26"/>
          <w:rFonts w:ascii="Times New Roman" w:eastAsia="Times New Roman" w:hAnsi="Times New Roman" w:hint="default"/>
        </w:rPr>
        <w:t xml:space="preserve"> DR, OYESEGUN R,</w:t>
      </w:r>
      <w:r>
        <w:rPr>
          <w:vertAlign w:val="superscript"/>
          <w:b w:val="1"/>
          <w:position w:val="0"/>
          <w:sz w:val="26"/>
          <w:szCs w:val="26"/>
          <w:rFonts w:ascii="Times New Roman" w:eastAsia="Times New Roman" w:hAnsi="Times New Roman" w:hint="default"/>
        </w:rPr>
        <w:t>2</w:t>
      </w:r>
      <w:r>
        <w:rPr>
          <w:b w:val="1"/>
          <w:position w:val="0"/>
          <w:sz w:val="26"/>
          <w:szCs w:val="26"/>
          <w:rFonts w:ascii="Times New Roman" w:eastAsia="Times New Roman" w:hAnsi="Times New Roman" w:hint="default"/>
        </w:rPr>
        <w:t xml:space="preserve"> DR. OCHE OGBE,</w:t>
      </w:r>
      <w:r>
        <w:rPr>
          <w:vertAlign w:val="superscript"/>
          <w:b w:val="1"/>
          <w:position w:val="0"/>
          <w:sz w:val="26"/>
          <w:szCs w:val="26"/>
          <w:rFonts w:ascii="Times New Roman" w:eastAsia="Times New Roman" w:hAnsi="Times New Roman" w:hint="default"/>
        </w:rPr>
        <w:t>3</w:t>
      </w:r>
      <w:r>
        <w:rPr>
          <w:b w:val="1"/>
          <w:position w:val="0"/>
          <w:sz w:val="26"/>
          <w:szCs w:val="26"/>
          <w:rFonts w:ascii="Times New Roman" w:eastAsia="Times New Roman" w:hAnsi="Times New Roman" w:hint="default"/>
        </w:rPr>
        <w:t xml:space="preserve"> </w:t>
      </w:r>
    </w:p>
    <w:p>
      <w:pPr>
        <w:numPr>
          <w:ilvl w:val="0"/>
          <w:numId w:val="0"/>
        </w:numPr>
        <w:jc w:val="both"/>
        <w:spacing w:lineRule="auto" w:line="259" w:before="0" w:after="0"/>
        <w:ind w:right="0" w:firstLine="0"/>
        <w:rPr>
          <w:b w:val="1"/>
          <w:position w:val="0"/>
          <w:sz w:val="26"/>
          <w:szCs w:val="26"/>
          <w:rFonts w:ascii="Times New Roman" w:eastAsia="Times New Roman" w:hAnsi="Times New Roman" w:hint="default"/>
        </w:rPr>
      </w:pPr>
      <w:r>
        <w:rPr>
          <w:b w:val="1"/>
          <w:position w:val="0"/>
          <w:sz w:val="26"/>
          <w:szCs w:val="26"/>
          <w:rFonts w:ascii="Times New Roman" w:eastAsia="Times New Roman" w:hAnsi="Times New Roman" w:hint="default"/>
        </w:rPr>
        <w:t xml:space="preserve">DR. IGBINOBA F,</w:t>
      </w:r>
      <w:r>
        <w:rPr>
          <w:vertAlign w:val="superscript"/>
          <w:b w:val="1"/>
          <w:position w:val="0"/>
          <w:sz w:val="26"/>
          <w:szCs w:val="26"/>
          <w:rFonts w:ascii="Times New Roman" w:eastAsia="Times New Roman" w:hAnsi="Times New Roman" w:hint="default"/>
        </w:rPr>
        <w:t xml:space="preserve">4 </w:t>
      </w:r>
      <w:r>
        <w:rPr>
          <w:b w:val="1"/>
          <w:position w:val="0"/>
          <w:sz w:val="26"/>
          <w:szCs w:val="26"/>
          <w:rFonts w:ascii="Times New Roman" w:eastAsia="Times New Roman" w:hAnsi="Times New Roman" w:hint="default"/>
        </w:rPr>
        <w:t xml:space="preserve">DR. OKWOR VITALIS,</w:t>
      </w:r>
      <w:r>
        <w:rPr>
          <w:vertAlign w:val="superscript"/>
          <w:b w:val="1"/>
          <w:position w:val="0"/>
          <w:sz w:val="26"/>
          <w:szCs w:val="26"/>
          <w:rFonts w:ascii="Times New Roman" w:eastAsia="Times New Roman" w:hAnsi="Times New Roman" w:hint="default"/>
        </w:rPr>
        <w:t>5</w:t>
      </w:r>
      <w:r>
        <w:rPr>
          <w:b w:val="1"/>
          <w:position w:val="0"/>
          <w:sz w:val="26"/>
          <w:szCs w:val="26"/>
          <w:rFonts w:ascii="Times New Roman" w:eastAsia="Times New Roman" w:hAnsi="Times New Roman" w:hint="default"/>
        </w:rPr>
        <w:t xml:space="preserve"> DR ONYISHI T.N.</w:t>
      </w:r>
      <w:r>
        <w:rPr>
          <w:vertAlign w:val="superscript"/>
          <w:b w:val="1"/>
          <w:position w:val="0"/>
          <w:sz w:val="26"/>
          <w:szCs w:val="26"/>
          <w:rFonts w:ascii="Times New Roman" w:eastAsia="Times New Roman" w:hAnsi="Times New Roman" w:hint="default"/>
        </w:rPr>
        <w:t>6</w:t>
      </w:r>
      <w:r>
        <w:rPr>
          <w:b w:val="1"/>
          <w:position w:val="0"/>
          <w:sz w:val="26"/>
          <w:szCs w:val="26"/>
          <w:rFonts w:ascii="Times New Roman" w:eastAsia="Times New Roman" w:hAnsi="Times New Roman" w:hint="default"/>
        </w:rPr>
        <w:t xml:space="preserve">, DR JAWA </w:t>
      </w:r>
      <w:r>
        <w:rPr>
          <w:b w:val="1"/>
          <w:position w:val="0"/>
          <w:sz w:val="26"/>
          <w:szCs w:val="26"/>
          <w:rFonts w:ascii="Times New Roman" w:eastAsia="Times New Roman" w:hAnsi="Times New Roman" w:hint="default"/>
        </w:rPr>
        <w:t>Z.M.</w:t>
      </w:r>
      <w:r>
        <w:rPr>
          <w:vertAlign w:val="superscript"/>
          <w:b w:val="1"/>
          <w:position w:val="0"/>
          <w:sz w:val="26"/>
          <w:szCs w:val="26"/>
          <w:rFonts w:ascii="Times New Roman" w:eastAsia="Times New Roman" w:hAnsi="Times New Roman" w:hint="default"/>
        </w:rPr>
        <w:t>7</w:t>
      </w:r>
      <w:r>
        <w:rPr>
          <w:b w:val="1"/>
          <w:position w:val="0"/>
          <w:sz w:val="26"/>
          <w:szCs w:val="26"/>
          <w:rFonts w:ascii="Times New Roman" w:eastAsia="Times New Roman" w:hAnsi="Times New Roman" w:hint="default"/>
        </w:rPr>
        <w:t xml:space="preserve">, DR ONYEDIKA OKOYE.</w:t>
      </w:r>
      <w:r>
        <w:rPr>
          <w:vertAlign w:val="superscript"/>
          <w:b w:val="1"/>
          <w:position w:val="0"/>
          <w:sz w:val="26"/>
          <w:szCs w:val="26"/>
          <w:rFonts w:ascii="Times New Roman" w:eastAsia="Times New Roman" w:hAnsi="Times New Roman" w:hint="default"/>
        </w:rPr>
        <w:t>8</w:t>
      </w:r>
    </w:p>
    <w:p>
      <w:pPr>
        <w:numPr>
          <w:ilvl w:val="0"/>
          <w:numId w:val="0"/>
        </w:numPr>
        <w:jc w:val="both"/>
        <w:spacing w:lineRule="auto" w:line="259" w:before="0" w:after="0"/>
        <w:ind w:right="0" w:firstLine="0"/>
        <w:rPr>
          <w:b w:val="1"/>
          <w:position w:val="0"/>
          <w:sz w:val="16"/>
          <w:szCs w:val="16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center"/>
        <w:spacing w:lineRule="auto" w:line="259" w:before="0" w:after="0"/>
        <w:ind w:right="0" w:firstLine="0"/>
        <w:rPr>
          <w:b w:val="1"/>
          <w:position w:val="0"/>
          <w:sz w:val="24"/>
          <w:szCs w:val="24"/>
          <w:rFonts w:ascii="Times New Roman" w:eastAsia="Times New Roman" w:hAnsi="Times New Roman" w:hint="default"/>
        </w:rPr>
      </w:pPr>
      <w:r>
        <w:rPr>
          <w:b w:val="1"/>
          <w:position w:val="0"/>
          <w:sz w:val="24"/>
          <w:szCs w:val="24"/>
          <w:rFonts w:ascii="Times New Roman" w:eastAsia="Times New Roman" w:hAnsi="Times New Roman" w:hint="default"/>
        </w:rPr>
        <w:t xml:space="preserve">CORRESPONDENCE OF AUTHOR:</w:t>
      </w:r>
    </w:p>
    <w:p>
      <w:pPr>
        <w:numPr>
          <w:ilvl w:val="0"/>
          <w:numId w:val="0"/>
        </w:numPr>
        <w:jc w:val="center"/>
        <w:spacing w:lineRule="auto" w:line="276" w:before="0" w:after="0"/>
        <w:ind w:right="0" w:firstLine="0"/>
        <w:rPr>
          <w:b w:val="1"/>
          <w:position w:val="0"/>
          <w:sz w:val="4"/>
          <w:szCs w:val="4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center"/>
        <w:spacing w:lineRule="auto" w:line="276" w:before="0" w:after="0"/>
        <w:ind w:right="0" w:firstLine="0"/>
        <w:rPr>
          <w:b w:val="1"/>
          <w:position w:val="0"/>
          <w:sz w:val="12"/>
          <w:szCs w:val="12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center"/>
        <w:spacing w:lineRule="auto" w:line="276" w:before="0" w:after="0"/>
        <w:ind w:right="0" w:firstLine="0"/>
        <w:rPr>
          <w:vertAlign w:val="superscript"/>
          <w:b w:val="1"/>
          <w:position w:val="0"/>
          <w:sz w:val="24"/>
          <w:szCs w:val="24"/>
          <w:rFonts w:ascii="Times New Roman" w:eastAsia="Times New Roman" w:hAnsi="Times New Roman" w:hint="default"/>
        </w:rPr>
      </w:pPr>
      <w:r>
        <w:rPr>
          <w:b w:val="1"/>
          <w:position w:val="0"/>
          <w:sz w:val="24"/>
          <w:szCs w:val="24"/>
          <w:rFonts w:ascii="Times New Roman" w:eastAsia="Times New Roman" w:hAnsi="Times New Roman" w:hint="default"/>
        </w:rPr>
        <w:t xml:space="preserve">DR. CHINEDU SIMEON ARUAH</w:t>
      </w:r>
      <w:r>
        <w:rPr>
          <w:vertAlign w:val="superscript"/>
          <w:b w:val="1"/>
          <w:position w:val="0"/>
          <w:sz w:val="24"/>
          <w:szCs w:val="24"/>
          <w:rFonts w:ascii="Times New Roman" w:eastAsia="Times New Roman" w:hAnsi="Times New Roman" w:hint="default"/>
        </w:rPr>
        <w:t>1</w:t>
      </w:r>
    </w:p>
    <w:p>
      <w:pPr>
        <w:numPr>
          <w:ilvl w:val="0"/>
          <w:numId w:val="0"/>
        </w:numPr>
        <w:jc w:val="center"/>
        <w:spacing w:lineRule="auto" w:line="276" w:before="0" w:after="0"/>
        <w:ind w:right="0" w:firstLine="0"/>
        <w:rPr>
          <w:position w:val="0"/>
          <w:sz w:val="24"/>
          <w:szCs w:val="24"/>
          <w:rFonts w:ascii="Times New Roman" w:eastAsia="Times New Roman" w:hAnsi="Times New Roman" w:hint="default"/>
        </w:rPr>
      </w:pP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Consultant, Radiation Oncologist</w:t>
      </w:r>
    </w:p>
    <w:p>
      <w:pPr>
        <w:numPr>
          <w:ilvl w:val="0"/>
          <w:numId w:val="0"/>
        </w:numPr>
        <w:jc w:val="center"/>
        <w:spacing w:lineRule="auto" w:line="276" w:before="0" w:after="0"/>
        <w:ind w:right="0" w:firstLine="0"/>
        <w:rPr>
          <w:position w:val="0"/>
          <w:sz w:val="24"/>
          <w:szCs w:val="24"/>
          <w:rFonts w:ascii="Times New Roman" w:eastAsia="Times New Roman" w:hAnsi="Times New Roman" w:hint="default"/>
        </w:rPr>
      </w:pP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Department of Radiation Oncology</w:t>
      </w:r>
    </w:p>
    <w:p>
      <w:pPr>
        <w:numPr>
          <w:ilvl w:val="0"/>
          <w:numId w:val="0"/>
        </w:numPr>
        <w:jc w:val="center"/>
        <w:spacing w:lineRule="auto" w:line="276" w:before="0" w:after="0"/>
        <w:ind w:right="0" w:firstLine="0"/>
        <w:rPr>
          <w:position w:val="0"/>
          <w:sz w:val="24"/>
          <w:szCs w:val="24"/>
          <w:rFonts w:ascii="Times New Roman" w:eastAsia="Times New Roman" w:hAnsi="Times New Roman" w:hint="default"/>
        </w:rPr>
      </w:pP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National Hospital Abuja, Nigeria</w:t>
      </w:r>
    </w:p>
    <w:p>
      <w:pPr>
        <w:numPr>
          <w:ilvl w:val="0"/>
          <w:numId w:val="0"/>
        </w:numPr>
        <w:jc w:val="center"/>
        <w:spacing w:lineRule="auto" w:line="276" w:before="0" w:after="0"/>
        <w:ind w:right="0" w:firstLine="0"/>
        <w:rPr>
          <w:position w:val="0"/>
          <w:sz w:val="24"/>
          <w:szCs w:val="24"/>
          <w:rFonts w:ascii="Times New Roman" w:eastAsia="Times New Roman" w:hAnsi="Times New Roman" w:hint="default"/>
        </w:rPr>
      </w:pP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P.M.B 425 Garki, Abuja</w:t>
      </w:r>
    </w:p>
    <w:p>
      <w:pPr>
        <w:numPr>
          <w:ilvl w:val="0"/>
          <w:numId w:val="0"/>
        </w:numPr>
        <w:jc w:val="center"/>
        <w:spacing w:lineRule="auto" w:line="276" w:before="0" w:after="0"/>
        <w:ind w:right="0" w:firstLine="0"/>
        <w:rPr>
          <w:position w:val="0"/>
          <w:sz w:val="24"/>
          <w:szCs w:val="24"/>
          <w:rFonts w:ascii="Times New Roman" w:eastAsia="Times New Roman" w:hAnsi="Times New Roman" w:hint="default"/>
        </w:rPr>
      </w:pP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E-mail: </w:t>
      </w:r>
      <w:hyperlink r:id="rId5">
        <w:r>
          <w:rPr>
            <w:rStyle w:val="PO151"/>
            <w:color w:val="0563C1" w:themeColor="hyperlink"/>
            <w:position w:val="0"/>
            <w:sz w:val="24"/>
            <w:szCs w:val="24"/>
            <w:u w:val="single"/>
            <w:rFonts w:ascii="Times New Roman" w:eastAsia="Times New Roman" w:hAnsi="Times New Roman" w:hint="default"/>
          </w:rPr>
          <w:t>aruasimeonedu@yahoo.com</w:t>
        </w:r>
      </w:hyperlink>
    </w:p>
    <w:p>
      <w:pPr>
        <w:numPr>
          <w:ilvl w:val="0"/>
          <w:numId w:val="0"/>
        </w:numPr>
        <w:jc w:val="center"/>
        <w:spacing w:lineRule="auto" w:line="276" w:before="0" w:after="0"/>
        <w:ind w:right="0" w:firstLine="0"/>
        <w:rPr>
          <w:position w:val="0"/>
          <w:sz w:val="10"/>
          <w:szCs w:val="1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center"/>
        <w:spacing w:lineRule="auto" w:line="276" w:before="0" w:after="0"/>
        <w:ind w:right="0" w:firstLine="0"/>
        <w:rPr>
          <w:vertAlign w:val="superscript"/>
          <w:b w:val="1"/>
          <w:position w:val="0"/>
          <w:sz w:val="24"/>
          <w:szCs w:val="24"/>
          <w:rFonts w:ascii="Times New Roman" w:eastAsia="Times New Roman" w:hAnsi="Times New Roman" w:hint="default"/>
        </w:rPr>
      </w:pPr>
      <w:r>
        <w:rPr>
          <w:b w:val="1"/>
          <w:position w:val="0"/>
          <w:sz w:val="24"/>
          <w:szCs w:val="24"/>
          <w:rFonts w:ascii="Times New Roman" w:eastAsia="Times New Roman" w:hAnsi="Times New Roman" w:hint="default"/>
        </w:rPr>
        <w:t xml:space="preserve">DR, OYESEGUN R</w:t>
      </w:r>
      <w:r>
        <w:rPr>
          <w:vertAlign w:val="superscript"/>
          <w:b w:val="1"/>
          <w:position w:val="0"/>
          <w:sz w:val="24"/>
          <w:szCs w:val="24"/>
          <w:rFonts w:ascii="Times New Roman" w:eastAsia="Times New Roman" w:hAnsi="Times New Roman" w:hint="default"/>
        </w:rPr>
        <w:t>2</w:t>
      </w:r>
    </w:p>
    <w:p>
      <w:pPr>
        <w:numPr>
          <w:ilvl w:val="0"/>
          <w:numId w:val="0"/>
        </w:numPr>
        <w:jc w:val="center"/>
        <w:spacing w:lineRule="auto" w:line="276" w:before="0" w:after="0"/>
        <w:ind w:right="0" w:firstLine="0"/>
        <w:rPr>
          <w:position w:val="0"/>
          <w:sz w:val="24"/>
          <w:szCs w:val="24"/>
          <w:rFonts w:ascii="Times New Roman" w:eastAsia="Times New Roman" w:hAnsi="Times New Roman" w:hint="default"/>
        </w:rPr>
      </w:pP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Chief Consultant Radiation Oncologist,</w:t>
      </w:r>
    </w:p>
    <w:p>
      <w:pPr>
        <w:numPr>
          <w:ilvl w:val="0"/>
          <w:numId w:val="0"/>
        </w:numPr>
        <w:jc w:val="center"/>
        <w:spacing w:lineRule="auto" w:line="276" w:before="0" w:after="0"/>
        <w:ind w:right="0" w:firstLine="0"/>
        <w:rPr>
          <w:position w:val="0"/>
          <w:sz w:val="24"/>
          <w:szCs w:val="24"/>
          <w:rFonts w:ascii="Times New Roman" w:eastAsia="Times New Roman" w:hAnsi="Times New Roman" w:hint="default"/>
        </w:rPr>
      </w:pP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National Hospital, Abuja.</w:t>
      </w:r>
    </w:p>
    <w:p>
      <w:pPr>
        <w:numPr>
          <w:ilvl w:val="0"/>
          <w:numId w:val="0"/>
        </w:numPr>
        <w:jc w:val="center"/>
        <w:spacing w:lineRule="auto" w:line="276" w:before="0" w:after="0"/>
        <w:ind w:right="0" w:firstLine="0"/>
        <w:rPr>
          <w:position w:val="0"/>
          <w:sz w:val="12"/>
          <w:szCs w:val="12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center"/>
        <w:spacing w:lineRule="auto" w:line="276" w:before="0" w:after="0"/>
        <w:ind w:right="0" w:firstLine="0"/>
        <w:rPr>
          <w:vertAlign w:val="superscript"/>
          <w:b w:val="1"/>
          <w:position w:val="0"/>
          <w:sz w:val="24"/>
          <w:szCs w:val="24"/>
          <w:rFonts w:ascii="Times New Roman" w:eastAsia="Times New Roman" w:hAnsi="Times New Roman" w:hint="default"/>
        </w:rPr>
      </w:pPr>
      <w:r>
        <w:rPr>
          <w:b w:val="1"/>
          <w:position w:val="0"/>
          <w:sz w:val="24"/>
          <w:szCs w:val="24"/>
          <w:rFonts w:ascii="Times New Roman" w:eastAsia="Times New Roman" w:hAnsi="Times New Roman" w:hint="default"/>
        </w:rPr>
        <w:t xml:space="preserve">DR. OCHE OGBE</w:t>
      </w:r>
      <w:r>
        <w:rPr>
          <w:vertAlign w:val="superscript"/>
          <w:b w:val="1"/>
          <w:position w:val="0"/>
          <w:sz w:val="24"/>
          <w:szCs w:val="24"/>
          <w:rFonts w:ascii="Times New Roman" w:eastAsia="Times New Roman" w:hAnsi="Times New Roman" w:hint="default"/>
        </w:rPr>
        <w:t>3</w:t>
      </w:r>
    </w:p>
    <w:p>
      <w:pPr>
        <w:numPr>
          <w:ilvl w:val="0"/>
          <w:numId w:val="0"/>
        </w:numPr>
        <w:jc w:val="center"/>
        <w:spacing w:lineRule="auto" w:line="276" w:before="0" w:after="0"/>
        <w:ind w:right="0" w:firstLine="0"/>
        <w:rPr>
          <w:position w:val="0"/>
          <w:sz w:val="24"/>
          <w:szCs w:val="24"/>
          <w:rFonts w:ascii="Times New Roman" w:eastAsia="Times New Roman" w:hAnsi="Times New Roman" w:hint="default"/>
        </w:rPr>
      </w:pP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Chief Consultant Haematologist,</w:t>
      </w:r>
    </w:p>
    <w:p>
      <w:pPr>
        <w:numPr>
          <w:ilvl w:val="0"/>
          <w:numId w:val="0"/>
        </w:numPr>
        <w:jc w:val="center"/>
        <w:spacing w:lineRule="auto" w:line="276" w:before="0" w:after="0"/>
        <w:ind w:right="0" w:firstLine="0"/>
        <w:rPr>
          <w:position w:val="0"/>
          <w:sz w:val="24"/>
          <w:szCs w:val="24"/>
          <w:rFonts w:ascii="Times New Roman" w:eastAsia="Times New Roman" w:hAnsi="Times New Roman" w:hint="default"/>
        </w:rPr>
      </w:pP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National Hospital, Abuja.</w:t>
      </w:r>
    </w:p>
    <w:p>
      <w:pPr>
        <w:numPr>
          <w:ilvl w:val="0"/>
          <w:numId w:val="0"/>
        </w:numPr>
        <w:jc w:val="center"/>
        <w:spacing w:lineRule="auto" w:line="276" w:before="0" w:after="0"/>
        <w:ind w:right="0" w:firstLine="0"/>
        <w:rPr>
          <w:position w:val="0"/>
          <w:sz w:val="14"/>
          <w:szCs w:val="14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center"/>
        <w:spacing w:lineRule="auto" w:line="276" w:before="0" w:after="0"/>
        <w:ind w:right="0" w:firstLine="0"/>
        <w:rPr>
          <w:vertAlign w:val="superscript"/>
          <w:b w:val="1"/>
          <w:position w:val="0"/>
          <w:sz w:val="24"/>
          <w:szCs w:val="24"/>
          <w:rFonts w:ascii="Times New Roman" w:eastAsia="Times New Roman" w:hAnsi="Times New Roman" w:hint="default"/>
        </w:rPr>
      </w:pPr>
      <w:r>
        <w:rPr>
          <w:b w:val="1"/>
          <w:position w:val="0"/>
          <w:sz w:val="24"/>
          <w:szCs w:val="24"/>
          <w:rFonts w:ascii="Times New Roman" w:eastAsia="Times New Roman" w:hAnsi="Times New Roman" w:hint="default"/>
        </w:rPr>
        <w:t xml:space="preserve">DR. IGBINOBA F</w:t>
      </w:r>
      <w:r>
        <w:rPr>
          <w:vertAlign w:val="superscript"/>
          <w:b w:val="1"/>
          <w:position w:val="0"/>
          <w:sz w:val="24"/>
          <w:szCs w:val="24"/>
          <w:rFonts w:ascii="Times New Roman" w:eastAsia="Times New Roman" w:hAnsi="Times New Roman" w:hint="default"/>
        </w:rPr>
        <w:t>4</w:t>
      </w:r>
    </w:p>
    <w:p>
      <w:pPr>
        <w:numPr>
          <w:ilvl w:val="0"/>
          <w:numId w:val="0"/>
        </w:numPr>
        <w:jc w:val="center"/>
        <w:spacing w:lineRule="auto" w:line="276" w:before="0" w:after="0"/>
        <w:ind w:right="0" w:firstLine="0"/>
        <w:rPr>
          <w:position w:val="0"/>
          <w:sz w:val="24"/>
          <w:szCs w:val="24"/>
          <w:rFonts w:ascii="Times New Roman" w:eastAsia="Times New Roman" w:hAnsi="Times New Roman" w:hint="default"/>
        </w:rPr>
      </w:pP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Chief Consultant Radiation Oncologist,</w:t>
      </w:r>
    </w:p>
    <w:p>
      <w:pPr>
        <w:numPr>
          <w:ilvl w:val="0"/>
          <w:numId w:val="0"/>
        </w:numPr>
        <w:jc w:val="center"/>
        <w:spacing w:lineRule="auto" w:line="276" w:before="0" w:after="0"/>
        <w:ind w:right="0" w:firstLine="0"/>
        <w:rPr>
          <w:position w:val="0"/>
          <w:sz w:val="24"/>
          <w:szCs w:val="24"/>
          <w:rFonts w:ascii="Times New Roman" w:eastAsia="Times New Roman" w:hAnsi="Times New Roman" w:hint="default"/>
        </w:rPr>
      </w:pP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National Hospital, Abuja.</w:t>
      </w:r>
    </w:p>
    <w:p>
      <w:pPr>
        <w:numPr>
          <w:ilvl w:val="0"/>
          <w:numId w:val="0"/>
        </w:numPr>
        <w:jc w:val="center"/>
        <w:spacing w:lineRule="auto" w:line="276" w:before="0" w:after="0"/>
        <w:ind w:right="0" w:firstLine="0"/>
        <w:rPr>
          <w:position w:val="0"/>
          <w:sz w:val="20"/>
          <w:szCs w:val="2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center"/>
        <w:spacing w:lineRule="auto" w:line="276" w:before="0" w:after="0"/>
        <w:ind w:right="0" w:firstLine="0"/>
        <w:rPr>
          <w:b w:val="1"/>
          <w:position w:val="0"/>
          <w:sz w:val="24"/>
          <w:szCs w:val="24"/>
          <w:rFonts w:ascii="Times New Roman" w:eastAsia="Times New Roman" w:hAnsi="Times New Roman" w:hint="default"/>
        </w:rPr>
      </w:pPr>
      <w:r>
        <w:rPr>
          <w:b w:val="1"/>
          <w:position w:val="0"/>
          <w:sz w:val="24"/>
          <w:szCs w:val="24"/>
          <w:rFonts w:ascii="Times New Roman" w:eastAsia="Times New Roman" w:hAnsi="Times New Roman" w:hint="default"/>
        </w:rPr>
        <w:t xml:space="preserve">DR. OKWOR VITALIS</w:t>
      </w:r>
      <w:r>
        <w:rPr>
          <w:vertAlign w:val="superscript"/>
          <w:b w:val="1"/>
          <w:position w:val="0"/>
          <w:sz w:val="24"/>
          <w:szCs w:val="24"/>
          <w:rFonts w:ascii="Times New Roman" w:eastAsia="Times New Roman" w:hAnsi="Times New Roman" w:hint="default"/>
        </w:rPr>
        <w:t>5</w:t>
      </w:r>
    </w:p>
    <w:p>
      <w:pPr>
        <w:numPr>
          <w:ilvl w:val="0"/>
          <w:numId w:val="0"/>
        </w:numPr>
        <w:jc w:val="center"/>
        <w:spacing w:lineRule="auto" w:line="276" w:before="0" w:after="0"/>
        <w:ind w:right="0" w:firstLine="0"/>
        <w:rPr>
          <w:position w:val="0"/>
          <w:sz w:val="24"/>
          <w:szCs w:val="24"/>
          <w:rFonts w:ascii="Times New Roman" w:eastAsia="Times New Roman" w:hAnsi="Times New Roman" w:hint="default"/>
        </w:rPr>
      </w:pP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Consultant Radiation Oncologist,</w:t>
      </w:r>
    </w:p>
    <w:p>
      <w:pPr>
        <w:numPr>
          <w:ilvl w:val="0"/>
          <w:numId w:val="0"/>
        </w:numPr>
        <w:jc w:val="center"/>
        <w:spacing w:lineRule="auto" w:line="276" w:before="0" w:after="0"/>
        <w:ind w:right="0" w:firstLine="0"/>
        <w:rPr>
          <w:position w:val="0"/>
          <w:sz w:val="24"/>
          <w:szCs w:val="24"/>
          <w:rFonts w:ascii="Times New Roman" w:eastAsia="Times New Roman" w:hAnsi="Times New Roman" w:hint="default"/>
        </w:rPr>
      </w:pP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University of Nigeria Teaching Hospital, Enugu.</w:t>
      </w:r>
    </w:p>
    <w:p>
      <w:pPr>
        <w:numPr>
          <w:ilvl w:val="0"/>
          <w:numId w:val="0"/>
        </w:numPr>
        <w:jc w:val="center"/>
        <w:spacing w:lineRule="auto" w:line="276" w:before="0" w:after="0"/>
        <w:ind w:right="0" w:firstLine="0"/>
        <w:rPr>
          <w:position w:val="0"/>
          <w:sz w:val="14"/>
          <w:szCs w:val="14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center"/>
        <w:spacing w:lineRule="auto" w:line="276" w:before="0" w:after="0"/>
        <w:ind w:right="0" w:firstLine="0"/>
        <w:rPr>
          <w:vertAlign w:val="superscript"/>
          <w:b w:val="1"/>
          <w:position w:val="0"/>
          <w:sz w:val="24"/>
          <w:szCs w:val="24"/>
          <w:rFonts w:ascii="Times New Roman" w:eastAsia="Times New Roman" w:hAnsi="Times New Roman" w:hint="default"/>
        </w:rPr>
      </w:pPr>
      <w:r>
        <w:rPr>
          <w:b w:val="1"/>
          <w:position w:val="0"/>
          <w:sz w:val="24"/>
          <w:szCs w:val="24"/>
          <w:rFonts w:ascii="Times New Roman" w:eastAsia="Times New Roman" w:hAnsi="Times New Roman" w:hint="default"/>
        </w:rPr>
        <w:t xml:space="preserve">DR. ONYISHI T.N.</w:t>
      </w:r>
      <w:r>
        <w:rPr>
          <w:vertAlign w:val="superscript"/>
          <w:b w:val="1"/>
          <w:position w:val="0"/>
          <w:sz w:val="24"/>
          <w:szCs w:val="24"/>
          <w:rFonts w:ascii="Times New Roman" w:eastAsia="Times New Roman" w:hAnsi="Times New Roman" w:hint="default"/>
        </w:rPr>
        <w:t>6</w:t>
      </w:r>
    </w:p>
    <w:p>
      <w:pPr>
        <w:numPr>
          <w:ilvl w:val="0"/>
          <w:numId w:val="0"/>
        </w:numPr>
        <w:jc w:val="center"/>
        <w:spacing w:lineRule="auto" w:line="276" w:before="0" w:after="0"/>
        <w:ind w:right="0" w:firstLine="0"/>
        <w:rPr>
          <w:position w:val="0"/>
          <w:sz w:val="24"/>
          <w:szCs w:val="24"/>
          <w:rFonts w:ascii="Times New Roman" w:eastAsia="Times New Roman" w:hAnsi="Times New Roman" w:hint="default"/>
        </w:rPr>
      </w:pP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Consultant Histopathologist </w:t>
      </w:r>
    </w:p>
    <w:p>
      <w:pPr>
        <w:numPr>
          <w:ilvl w:val="0"/>
          <w:numId w:val="0"/>
        </w:numPr>
        <w:jc w:val="center"/>
        <w:spacing w:lineRule="auto" w:line="276" w:before="0" w:after="0"/>
        <w:ind w:right="0" w:firstLine="0"/>
        <w:rPr>
          <w:position w:val="0"/>
          <w:sz w:val="24"/>
          <w:szCs w:val="24"/>
          <w:rFonts w:ascii="Times New Roman" w:eastAsia="Times New Roman" w:hAnsi="Times New Roman" w:hint="default"/>
        </w:rPr>
      </w:pP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ESUT Teaching Hospital, Enugu.</w:t>
      </w:r>
    </w:p>
    <w:p>
      <w:pPr>
        <w:numPr>
          <w:ilvl w:val="0"/>
          <w:numId w:val="0"/>
        </w:numPr>
        <w:jc w:val="center"/>
        <w:spacing w:lineRule="auto" w:line="276" w:before="0" w:after="0"/>
        <w:ind w:right="0" w:firstLine="0"/>
        <w:rPr>
          <w:position w:val="0"/>
          <w:sz w:val="20"/>
          <w:szCs w:val="2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center"/>
        <w:spacing w:lineRule="auto" w:line="276" w:before="0" w:after="0"/>
        <w:ind w:right="0" w:firstLine="0"/>
        <w:rPr>
          <w:b w:val="1"/>
          <w:position w:val="0"/>
          <w:sz w:val="24"/>
          <w:szCs w:val="24"/>
          <w:rFonts w:ascii="Times New Roman" w:eastAsia="Times New Roman" w:hAnsi="Times New Roman" w:hint="default"/>
        </w:rPr>
      </w:pPr>
      <w:r>
        <w:rPr>
          <w:b w:val="1"/>
          <w:position w:val="0"/>
          <w:sz w:val="24"/>
          <w:szCs w:val="24"/>
          <w:rFonts w:ascii="Times New Roman" w:eastAsia="Times New Roman" w:hAnsi="Times New Roman" w:hint="default"/>
        </w:rPr>
        <w:t xml:space="preserve">DR. JAWA Z.M.</w:t>
      </w:r>
      <w:r>
        <w:rPr>
          <w:vertAlign w:val="superscript"/>
          <w:b w:val="1"/>
          <w:position w:val="0"/>
          <w:sz w:val="24"/>
          <w:szCs w:val="24"/>
          <w:rFonts w:ascii="Times New Roman" w:eastAsia="Times New Roman" w:hAnsi="Times New Roman" w:hint="default"/>
        </w:rPr>
        <w:t>7</w:t>
      </w:r>
    </w:p>
    <w:p>
      <w:pPr>
        <w:numPr>
          <w:ilvl w:val="0"/>
          <w:numId w:val="0"/>
        </w:numPr>
        <w:jc w:val="center"/>
        <w:spacing w:lineRule="auto" w:line="276" w:before="0" w:after="0"/>
        <w:ind w:right="0" w:firstLine="0"/>
        <w:rPr>
          <w:position w:val="0"/>
          <w:sz w:val="24"/>
          <w:szCs w:val="24"/>
          <w:rFonts w:ascii="Times New Roman" w:eastAsia="Times New Roman" w:hAnsi="Times New Roman" w:hint="default"/>
        </w:rPr>
      </w:pP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Consultant Nuclear Medicine,</w:t>
      </w:r>
    </w:p>
    <w:p>
      <w:pPr>
        <w:numPr>
          <w:ilvl w:val="0"/>
          <w:numId w:val="0"/>
        </w:numPr>
        <w:jc w:val="center"/>
        <w:spacing w:lineRule="auto" w:line="276" w:before="0" w:after="0"/>
        <w:ind w:right="0" w:firstLine="0"/>
        <w:rPr>
          <w:position w:val="0"/>
          <w:sz w:val="24"/>
          <w:szCs w:val="24"/>
          <w:rFonts w:ascii="Times New Roman" w:eastAsia="Times New Roman" w:hAnsi="Times New Roman" w:hint="default"/>
        </w:rPr>
      </w:pP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National Hospital, Abuja.</w:t>
      </w:r>
    </w:p>
    <w:p>
      <w:pPr>
        <w:numPr>
          <w:ilvl w:val="0"/>
          <w:numId w:val="0"/>
        </w:numPr>
        <w:jc w:val="center"/>
        <w:spacing w:lineRule="auto" w:line="276" w:before="0" w:after="0"/>
        <w:ind w:right="0" w:firstLine="0"/>
        <w:rPr>
          <w:b w:val="1"/>
          <w:position w:val="0"/>
          <w:sz w:val="20"/>
          <w:szCs w:val="2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center"/>
        <w:spacing w:lineRule="auto" w:line="276" w:before="0" w:after="0"/>
        <w:ind w:right="0" w:firstLine="0"/>
        <w:rPr>
          <w:vertAlign w:val="superscript"/>
          <w:b w:val="1"/>
          <w:position w:val="0"/>
          <w:sz w:val="24"/>
          <w:szCs w:val="24"/>
          <w:rFonts w:ascii="Times New Roman" w:eastAsia="Times New Roman" w:hAnsi="Times New Roman" w:hint="default"/>
        </w:rPr>
      </w:pPr>
      <w:r>
        <w:rPr>
          <w:b w:val="1"/>
          <w:position w:val="0"/>
          <w:sz w:val="24"/>
          <w:szCs w:val="24"/>
          <w:rFonts w:ascii="Times New Roman" w:eastAsia="Times New Roman" w:hAnsi="Times New Roman" w:hint="default"/>
        </w:rPr>
        <w:t xml:space="preserve">DR. ONYEDIKA OKOYE.</w:t>
      </w:r>
      <w:r>
        <w:rPr>
          <w:vertAlign w:val="superscript"/>
          <w:b w:val="1"/>
          <w:position w:val="0"/>
          <w:sz w:val="24"/>
          <w:szCs w:val="24"/>
          <w:rFonts w:ascii="Times New Roman" w:eastAsia="Times New Roman" w:hAnsi="Times New Roman" w:hint="default"/>
        </w:rPr>
        <w:t>8</w:t>
      </w:r>
    </w:p>
    <w:p>
      <w:pPr>
        <w:numPr>
          <w:ilvl w:val="0"/>
          <w:numId w:val="0"/>
        </w:numPr>
        <w:jc w:val="center"/>
        <w:spacing w:lineRule="auto" w:line="276" w:before="0" w:after="0"/>
        <w:ind w:right="0" w:firstLine="0"/>
        <w:rPr>
          <w:position w:val="0"/>
          <w:sz w:val="26"/>
          <w:szCs w:val="26"/>
          <w:rFonts w:ascii="Times New Roman" w:eastAsia="Times New Roman" w:hAnsi="Times New Roman" w:hint="default"/>
        </w:rPr>
      </w:pPr>
      <w:r>
        <w:rPr>
          <w:position w:val="0"/>
          <w:sz w:val="26"/>
          <w:szCs w:val="26"/>
          <w:rFonts w:ascii="Times New Roman" w:eastAsia="Times New Roman" w:hAnsi="Times New Roman" w:hint="default"/>
        </w:rPr>
        <w:t xml:space="preserve">Consultant, General Surgeon,</w:t>
      </w:r>
    </w:p>
    <w:p>
      <w:pPr>
        <w:numPr>
          <w:ilvl w:val="0"/>
          <w:numId w:val="0"/>
        </w:numPr>
        <w:jc w:val="center"/>
        <w:spacing w:lineRule="auto" w:line="276" w:before="0" w:after="0"/>
        <w:ind w:right="0" w:firstLine="0"/>
        <w:rPr>
          <w:position w:val="0"/>
          <w:sz w:val="26"/>
          <w:szCs w:val="26"/>
          <w:rFonts w:ascii="Times New Roman" w:eastAsia="Times New Roman" w:hAnsi="Times New Roman" w:hint="default"/>
        </w:rPr>
      </w:pPr>
      <w:r>
        <w:rPr>
          <w:position w:val="0"/>
          <w:sz w:val="26"/>
          <w:szCs w:val="26"/>
          <w:rFonts w:ascii="Times New Roman" w:eastAsia="Times New Roman" w:hAnsi="Times New Roman" w:hint="default"/>
        </w:rPr>
        <w:t xml:space="preserve">National Hospital Abuja. </w:t>
      </w:r>
    </w:p>
    <w:p>
      <w:pPr>
        <w:numPr>
          <w:ilvl w:val="0"/>
          <w:numId w:val="0"/>
        </w:numPr>
        <w:jc w:val="center"/>
        <w:spacing w:lineRule="auto" w:line="259" w:before="0" w:after="0"/>
        <w:ind w:right="0" w:firstLine="0"/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center"/>
        <w:spacing w:lineRule="auto" w:line="259" w:before="0" w:after="0"/>
        <w:ind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  <w:t>ABSTRACT</w:t>
      </w:r>
    </w:p>
    <w:p>
      <w:pPr>
        <w:numPr>
          <w:ilvl w:val="0"/>
          <w:numId w:val="0"/>
        </w:numPr>
        <w:jc w:val="both"/>
        <w:spacing w:lineRule="auto" w:line="259" w:before="0" w:after="0"/>
        <w:ind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  <w:t xml:space="preserve">Introduction: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More than 50% of cancer patients will receive radiotherapy in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the course of their therapy. Anaemia is the most common haematological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complication in cancer patients. The cut-off value for anaemia vary from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centre to centre but Hb of 10g/dl is a borderline value and administration of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radiotherapy  without adequate haematological support may tilt the patient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into clinical anaemia.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  <w:t xml:space="preserve">Objective: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Impact of radiotherapy on the haemoglobin level of cancer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patients undergoing therapy.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  <w:t xml:space="preserve">Materials and Methods: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A total of 63 patients with solid tumours with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intent for radical treatment where recruited within a period of 8 months.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Informed consent of participants was obtained, demographic characteristics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of the cancer patients and their various oncologic diseases were gathered.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Baseline or pretreatment Haemoglobin (Hb) were measured on the first day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of consultation. Patients were simulated and treated with Linear Accelerator.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Their Hb level were measured once every 2 weeks during therapy. The blood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film pictures of the patients were examined in the course of treatment. The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whole process was terminated after 3 consecutive Hb reading or after week 6.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Anaemia was classified for this study into 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Less than 10g/dl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ab/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ab/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>-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ab/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ab/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severe anaemia 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30"/>
          <w:szCs w:val="30"/>
          <w:rFonts w:ascii="Times New Roman" w:eastAsia="Times New Roman" w:hAnsi="Times New Roman" w:hint="default"/>
        </w:rPr>
      </w:pP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10 – 10.9g/dl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ab/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ab/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>-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ab/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ab/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moderate anaemia 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30"/>
          <w:szCs w:val="30"/>
          <w:rFonts w:ascii="Times New Roman" w:eastAsia="Times New Roman" w:hAnsi="Times New Roman" w:hint="default"/>
        </w:rPr>
      </w:pP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11 – 12g/dl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ab/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ab/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ab/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>-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ab/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ab/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mild anaemia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30"/>
          <w:szCs w:val="30"/>
          <w:rFonts w:ascii="Times New Roman" w:eastAsia="Times New Roman" w:hAnsi="Times New Roman" w:hint="default"/>
        </w:rPr>
      </w:pP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&gt; 12g/dl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ab/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ab/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ab/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>-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ab/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ab/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no anaemia (Normal)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10"/>
          <w:szCs w:val="1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30"/>
          <w:szCs w:val="30"/>
          <w:rFonts w:ascii="Times New Roman" w:eastAsia="Times New Roman" w:hAnsi="Times New Roman" w:hint="default"/>
        </w:rPr>
      </w:pPr>
      <w:r>
        <w:rPr>
          <w:b w:val="1"/>
          <w:position w:val="0"/>
          <w:sz w:val="30"/>
          <w:szCs w:val="30"/>
          <w:rFonts w:ascii="Times New Roman" w:eastAsia="Times New Roman" w:hAnsi="Times New Roman" w:hint="default"/>
        </w:rPr>
        <w:t xml:space="preserve">Results and Data Analysis: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Data collection was analyzed using a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standard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Statistical Package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 for Social Science (SPSS) version 10. Out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of 63 cancer patients, 92.1% were female and 7.9% were male. Age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range  25 – 75years, with median age of 50years. Breast 47.6% (30)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was commonest site of tumour, 74.6%(47) presented with stage III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disease. Prevalence of anaemia in the study was 42.9%. At the end of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therapy 55.6% (63) cancer patients had their Hb level between 11.52 –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12.13g/dl. At P-value &gt; 0.05 there was no statistical significance on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distribution of mean Hb, standard deviation based on sex and treatment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>type.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30"/>
          <w:szCs w:val="30"/>
          <w:rFonts w:ascii="Times New Roman" w:eastAsia="Times New Roman" w:hAnsi="Times New Roman" w:hint="default"/>
        </w:rPr>
      </w:pPr>
      <w:r>
        <w:rPr>
          <w:b w:val="1"/>
          <w:position w:val="0"/>
          <w:sz w:val="30"/>
          <w:szCs w:val="30"/>
          <w:rFonts w:ascii="Times New Roman" w:eastAsia="Times New Roman" w:hAnsi="Times New Roman" w:hint="default"/>
        </w:rPr>
        <w:t xml:space="preserve">Conclusion and recommendation: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Prevalence of anaemia in cancer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patients undergoing radiotherapy was 42.9% as shown by the blood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film. However, at 95% confidence interval (95CI) radiotherapy had no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significant impact on Hb level, hence Hb – 11.52 – 12.13g/dl at end of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therapy.We recommend  Hb of 11g/dl as irreducible  minimum level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for cancer patients  undergoing radiotherapy  in Nigeria Oncology 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Centres. 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30"/>
          <w:szCs w:val="30"/>
          <w:rFonts w:ascii="Times New Roman" w:eastAsia="Times New Roman" w:hAnsi="Times New Roman" w:hint="default"/>
        </w:rPr>
      </w:pPr>
      <w:r>
        <w:rPr>
          <w:b w:val="1"/>
          <w:position w:val="0"/>
          <w:sz w:val="30"/>
          <w:szCs w:val="30"/>
          <w:rFonts w:ascii="Times New Roman" w:eastAsia="Times New Roman" w:hAnsi="Times New Roman" w:hint="default"/>
        </w:rPr>
        <w:t xml:space="preserve">Key Word: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Anaemia, patients, haemoglobin, prevalence, cancer,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>radiotherapy.</w:t>
      </w:r>
    </w:p>
    <w:p>
      <w:pPr>
        <w:numPr>
          <w:ilvl w:val="0"/>
          <w:numId w:val="0"/>
        </w:numPr>
        <w:jc w:val="left"/>
        <w:spacing w:lineRule="auto" w:line="259" w:before="0" w:after="0"/>
        <w:ind w:left="0" w:hanging="0"/>
        <w:rPr>
          <w:position w:val="0"/>
          <w:sz w:val="22"/>
          <w:szCs w:val="22"/>
          <w:rFonts w:ascii="Calibri" w:eastAsia="Calibri" w:hAnsi="Calibri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30"/>
          <w:szCs w:val="3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30"/>
          <w:szCs w:val="3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right="0" w:firstLine="0"/>
        <w:rPr>
          <w:position w:val="0"/>
          <w:sz w:val="30"/>
          <w:szCs w:val="3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center"/>
        <w:spacing w:lineRule="auto" w:line="360" w:before="0" w:after="0"/>
        <w:ind w:right="0" w:firstLine="0"/>
        <w:rPr>
          <w:b w:val="1"/>
          <w:position w:val="0"/>
          <w:sz w:val="30"/>
          <w:szCs w:val="3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center"/>
        <w:spacing w:lineRule="auto" w:line="360" w:before="0" w:after="0"/>
        <w:ind w:right="0" w:firstLine="0"/>
        <w:rPr>
          <w:b w:val="1"/>
          <w:position w:val="0"/>
          <w:sz w:val="30"/>
          <w:szCs w:val="3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center"/>
        <w:spacing w:lineRule="auto" w:line="360" w:before="0" w:after="0"/>
        <w:ind w:right="0" w:firstLine="0"/>
        <w:rPr>
          <w:b w:val="1"/>
          <w:position w:val="0"/>
          <w:sz w:val="30"/>
          <w:szCs w:val="3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center"/>
        <w:spacing w:lineRule="auto" w:line="360" w:before="0" w:after="0"/>
        <w:ind w:right="0" w:firstLine="0"/>
        <w:rPr>
          <w:b w:val="1"/>
          <w:position w:val="0"/>
          <w:sz w:val="30"/>
          <w:szCs w:val="30"/>
          <w:rFonts w:ascii="Times New Roman" w:eastAsia="Times New Roman" w:hAnsi="Times New Roman" w:hint="default"/>
        </w:rPr>
      </w:pPr>
    </w:p>
    <w:p>
      <w:pPr>
        <w:sectPr>
          <w:titlePg/>
          <w:footerReference w:type="default" r:id="rId6"/>
          <w:pgSz w:w="12240" w:h="15840"/>
          <w:pgMar w:top="1440" w:left="1440" w:bottom="1440" w:right="1440" w:footer="432" w:gutter="0"/>
          <w:pgNumType w:fmt="lowerRoman"/>
          <w:docGrid w:type="default" w:linePitch="360" w:charSize="0"/>
        </w:sectPr>
        <w:numPr>
          <w:ilvl w:val="0"/>
          <w:numId w:val="0"/>
        </w:numPr>
        <w:jc w:val="center"/>
        <w:spacing w:lineRule="auto" w:line="360" w:before="0" w:after="0"/>
        <w:ind w:right="0" w:firstLine="0"/>
        <w:rPr>
          <w:b w:val="1"/>
          <w:position w:val="0"/>
          <w:sz w:val="30"/>
          <w:szCs w:val="3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center"/>
        <w:spacing w:lineRule="auto" w:line="360" w:before="0" w:after="0"/>
        <w:ind w:right="0" w:firstLine="0"/>
        <w:rPr>
          <w:b w:val="1"/>
          <w:position w:val="0"/>
          <w:sz w:val="30"/>
          <w:szCs w:val="30"/>
          <w:rFonts w:ascii="Times New Roman" w:eastAsia="Times New Roman" w:hAnsi="Times New Roman" w:hint="default"/>
        </w:rPr>
      </w:pPr>
      <w:r>
        <w:rPr>
          <w:b w:val="1"/>
          <w:position w:val="0"/>
          <w:sz w:val="30"/>
          <w:szCs w:val="30"/>
          <w:rFonts w:ascii="Times New Roman" w:eastAsia="Times New Roman" w:hAnsi="Times New Roman" w:hint="default"/>
        </w:rPr>
        <w:t>INTRODUCTION</w:t>
      </w:r>
    </w:p>
    <w:p>
      <w:pPr>
        <w:numPr>
          <w:ilvl w:val="0"/>
          <w:numId w:val="0"/>
        </w:numPr>
        <w:jc w:val="center"/>
        <w:spacing w:lineRule="auto" w:line="360" w:before="0" w:after="0"/>
        <w:ind w:right="0" w:firstLine="0"/>
        <w:rPr>
          <w:b w:val="1"/>
          <w:position w:val="0"/>
          <w:sz w:val="24"/>
          <w:szCs w:val="24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30"/>
          <w:szCs w:val="30"/>
          <w:rFonts w:ascii="Times New Roman" w:eastAsia="Times New Roman" w:hAnsi="Times New Roman" w:hint="default"/>
        </w:rPr>
      </w:pP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Anaemia as seen in most clinical situation in cancer patients is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haematologically similar to that of the chronic anaemia except that the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onset is generally sudden. The aetiology is usually multifactorial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especially in our environment where many cancer patients hardly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present early or have access to Radiation Oncology centres. The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pathophysiology of cancer-related anaemia have been studied and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found to be multifactorial.</w:t>
      </w:r>
      <w:r>
        <w:rPr>
          <w:vertAlign w:val="superscript"/>
          <w:position w:val="0"/>
          <w:sz w:val="30"/>
          <w:szCs w:val="30"/>
          <w:rFonts w:ascii="Times New Roman" w:eastAsia="Times New Roman" w:hAnsi="Times New Roman" w:hint="default"/>
        </w:rPr>
        <w:t>1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 Anaemia usually occur as a consequence of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direct inhibitory effect of inflammatory cytokines, erythropoietin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deficiency, blunted erythropoietin response, blood loss, nutritional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deficiencies, renal insufficiency, socio-cultural and religious factors.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10"/>
          <w:szCs w:val="1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30"/>
          <w:szCs w:val="30"/>
          <w:rFonts w:ascii="Times New Roman" w:eastAsia="Times New Roman" w:hAnsi="Times New Roman" w:hint="default"/>
        </w:rPr>
      </w:pP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Also, treatment associated factors may aggravate the incidence of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anaemia and these may compromise patient’s tolerance of treatment.</w:t>
      </w:r>
      <w:r>
        <w:rPr>
          <w:vertAlign w:val="superscript"/>
          <w:position w:val="0"/>
          <w:sz w:val="30"/>
          <w:szCs w:val="30"/>
          <w:rFonts w:ascii="Times New Roman" w:eastAsia="Times New Roman" w:hAnsi="Times New Roman" w:hint="default"/>
        </w:rPr>
        <w:t>2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Although anaemia is not well tolerated in cancer patients, aggressive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treatment of anaemia can be just as detrimental as no treatment.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10"/>
          <w:szCs w:val="1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30"/>
          <w:szCs w:val="30"/>
          <w:rFonts w:ascii="Times New Roman" w:eastAsia="Times New Roman" w:hAnsi="Times New Roman" w:hint="default"/>
        </w:rPr>
      </w:pP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According to National Cancer Comprehensive Network (NCCN),</w:t>
      </w:r>
      <w:r>
        <w:rPr>
          <w:vertAlign w:val="superscript"/>
          <w:position w:val="0"/>
          <w:sz w:val="30"/>
          <w:szCs w:val="30"/>
          <w:rFonts w:ascii="Times New Roman" w:eastAsia="Times New Roman" w:hAnsi="Times New Roman" w:hint="default"/>
        </w:rPr>
        <w:t>3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anaemia is defined as inadequate circulating level of haemaglobin or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red blood cells normal for an individual. Anaemia is further classified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based on severity by NCCN</w:t>
      </w:r>
      <w:r>
        <w:rPr>
          <w:vertAlign w:val="superscript"/>
          <w:position w:val="0"/>
          <w:sz w:val="30"/>
          <w:szCs w:val="30"/>
          <w:rFonts w:ascii="Times New Roman" w:eastAsia="Times New Roman" w:hAnsi="Times New Roman" w:hint="default"/>
        </w:rPr>
        <w:t>3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 into mild (10g/dl), moderate (8 – 9g/dl),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severe (6.5 – 7.9g/dl) and life threatening less than (&gt; 6.5g/dl).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However, the cut-off value of Hb level in anaemia vary from centre to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centre. A common anaemia related problem is fatigue, which impairs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the patient’s ability to perform normal daily activities.</w:t>
      </w:r>
      <w:r>
        <w:rPr>
          <w:vertAlign w:val="superscript"/>
          <w:position w:val="0"/>
          <w:sz w:val="30"/>
          <w:szCs w:val="30"/>
          <w:rFonts w:ascii="Times New Roman" w:eastAsia="Times New Roman" w:hAnsi="Times New Roman" w:hint="default"/>
        </w:rPr>
        <w:t>4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 However, a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study done by Birgegard and his colleagues</w:t>
      </w:r>
      <w:r>
        <w:rPr>
          <w:vertAlign w:val="superscript"/>
          <w:position w:val="0"/>
          <w:sz w:val="30"/>
          <w:szCs w:val="30"/>
          <w:rFonts w:ascii="Times New Roman" w:eastAsia="Times New Roman" w:hAnsi="Times New Roman" w:hint="default"/>
        </w:rPr>
        <w:t>5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 revealed other common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signs and symptoms of anaemia such as dizziness, depression,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tachycardia, exertion dyspnea, palpitation, risk of cardiac failure,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menstrual problem, loss of libido, anorexia, nausea, pallor of the skin,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impaired cognitive function, impaired T cell and macrophage function.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10"/>
          <w:szCs w:val="1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30"/>
          <w:szCs w:val="30"/>
          <w:rFonts w:ascii="Times New Roman" w:eastAsia="Times New Roman" w:hAnsi="Times New Roman" w:hint="default"/>
        </w:rPr>
      </w:pP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Generally, patients with low haemoglobin have a reduced loco-regional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tumour control and survival probability. While several mechanisms can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be proposed to explain this relationship, tumour hypoxia is clearly one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of the major factors.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10"/>
          <w:szCs w:val="1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30"/>
          <w:szCs w:val="30"/>
          <w:rFonts w:ascii="Times New Roman" w:eastAsia="Times New Roman" w:hAnsi="Times New Roman" w:hint="default"/>
        </w:rPr>
      </w:pP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Several studies have shown that tumours are more hypoxia than the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surrounding normal tissue.</w:t>
      </w:r>
      <w:r>
        <w:rPr>
          <w:vertAlign w:val="superscript"/>
          <w:position w:val="0"/>
          <w:sz w:val="30"/>
          <w:szCs w:val="30"/>
          <w:rFonts w:ascii="Times New Roman" w:eastAsia="Times New Roman" w:hAnsi="Times New Roman" w:hint="default"/>
        </w:rPr>
        <w:t>6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 Tumour cells can become resistant to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cancer treatment because of hypoxia; this is due to decrease oxygen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transport capacity as a result of tumour associated anaemia.Hypoxic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regions have been identified by Nordsmark et al</w:t>
      </w:r>
      <w:r>
        <w:rPr>
          <w:vertAlign w:val="superscript"/>
          <w:position w:val="0"/>
          <w:sz w:val="30"/>
          <w:szCs w:val="30"/>
          <w:rFonts w:ascii="Times New Roman" w:eastAsia="Times New Roman" w:hAnsi="Times New Roman" w:hint="default"/>
        </w:rPr>
        <w:t>7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 in locally and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advanced breast and cervical cancers, head and neck cancers, rectal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cancer, brain tumours, soft tissue sarcormas and malignant melanomas.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10"/>
          <w:szCs w:val="1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30"/>
          <w:szCs w:val="30"/>
          <w:rFonts w:ascii="Times New Roman" w:eastAsia="Times New Roman" w:hAnsi="Times New Roman" w:hint="default"/>
        </w:rPr>
      </w:pP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Anaemia is a frequent complication in cancer seen in up to 75% of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patients with malignancies.</w:t>
      </w:r>
      <w:r>
        <w:rPr>
          <w:vertAlign w:val="superscript"/>
          <w:position w:val="0"/>
          <w:sz w:val="30"/>
          <w:szCs w:val="30"/>
          <w:rFonts w:ascii="Times New Roman" w:eastAsia="Times New Roman" w:hAnsi="Times New Roman" w:hint="default"/>
        </w:rPr>
        <w:t>8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 It can occur in up to 40 – 50% of cancer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patients even before they start treatment. After initiation of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radiotherapy, chemotherapy or chemoradiation, the incidence of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anaeemia may climb up to 90%. This observation was supported by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work done by Hendenus and his colleagues</w:t>
      </w:r>
      <w:r>
        <w:rPr>
          <w:vertAlign w:val="superscript"/>
          <w:position w:val="0"/>
          <w:sz w:val="30"/>
          <w:szCs w:val="30"/>
          <w:rFonts w:ascii="Times New Roman" w:eastAsia="Times New Roman" w:hAnsi="Times New Roman" w:hint="default"/>
        </w:rPr>
        <w:t>9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 on cancer patients at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presentation and also during treatment. This was found to be at the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range of 10-39% at presentation and 87% during treatment with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erythropoietin stimulating agents(ESA</w:t>
      </w:r>
      <w:r>
        <w:rPr>
          <w:vertAlign w:val="subscript"/>
          <w:position w:val="0"/>
          <w:sz w:val="30"/>
          <w:szCs w:val="30"/>
          <w:rFonts w:ascii="Times New Roman" w:eastAsia="Times New Roman" w:hAnsi="Times New Roman" w:hint="default"/>
        </w:rPr>
        <w:t>S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) .Another study done by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European Cancer Anaemia Survey</w:t>
      </w:r>
      <w:r>
        <w:rPr>
          <w:vertAlign w:val="superscript"/>
          <w:position w:val="0"/>
          <w:sz w:val="30"/>
          <w:szCs w:val="30"/>
          <w:rFonts w:ascii="Times New Roman" w:eastAsia="Times New Roman" w:hAnsi="Times New Roman" w:hint="default"/>
        </w:rPr>
        <w:t xml:space="preserve">10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indicated that prevalence of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anaemia (Hb &lt; 12g/dl) among 15,367 cancer patients was 39.3% at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enrollment and 67% during survey.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10"/>
          <w:szCs w:val="1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30"/>
          <w:szCs w:val="30"/>
          <w:rFonts w:ascii="Times New Roman" w:eastAsia="Times New Roman" w:hAnsi="Times New Roman" w:hint="default"/>
        </w:rPr>
      </w:pP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The Surveillance, Epidemiology and End Result (SEER) programme of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the National Cancer Institute (NCI) estimated cancer incidence in the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United States to be approximately 75% in persons greater than 60 years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of age.</w:t>
      </w:r>
      <w:r>
        <w:rPr>
          <w:vertAlign w:val="superscript"/>
          <w:position w:val="0"/>
          <w:sz w:val="30"/>
          <w:szCs w:val="30"/>
          <w:rFonts w:ascii="Times New Roman" w:eastAsia="Times New Roman" w:hAnsi="Times New Roman" w:hint="default"/>
        </w:rPr>
        <w:t>11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 The Institute of Human Virology of Nigeria (IHVN)) analyzed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data from 11 Hospital Based Cancer Registry programme in Nigeria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from 2009 – 2010. They described the role of hospital cancer registry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and how their data can be beneficial to improving healthcare system in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low and middle income countries in general.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10"/>
          <w:szCs w:val="1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30"/>
          <w:szCs w:val="30"/>
          <w:rFonts w:ascii="Times New Roman" w:eastAsia="Times New Roman" w:hAnsi="Times New Roman" w:hint="default"/>
        </w:rPr>
      </w:pP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This study by (IHVN)</w:t>
      </w:r>
      <w:r>
        <w:rPr>
          <w:vertAlign w:val="superscript"/>
          <w:position w:val="0"/>
          <w:sz w:val="30"/>
          <w:szCs w:val="30"/>
          <w:rFonts w:ascii="Times New Roman" w:eastAsia="Times New Roman" w:hAnsi="Times New Roman" w:hint="default"/>
        </w:rPr>
        <w:t>12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 revealed that the commonest five cancers in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males and females reported by 11 Hospital Based Cancer Registry in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Nigeria between 2009 – 2010 were as follows: Male – Prostate cancer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(29.2%), colorectal (7%), lymphoma (6.8%), liver cancers (4%), skin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cancers (3.8%). In female the commonest cancers were as follows: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Breast cancer (40.4%), cervical cancer (17.3%), ovarian cancer (3.7%),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lymphoma (3.1%) and skin cancers (2.1%). The conclusion of the study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was that breast and cervical cancer account over 60% of all cancer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cases affecting Nigerian women. While in the males, prostate and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colorectal cancers are the most common cancers in males aged 45 years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and above. In another study done by Sa’adatu et al,</w:t>
      </w:r>
      <w:r>
        <w:rPr>
          <w:vertAlign w:val="superscript"/>
          <w:position w:val="0"/>
          <w:sz w:val="30"/>
          <w:szCs w:val="30"/>
          <w:rFonts w:ascii="Times New Roman" w:eastAsia="Times New Roman" w:hAnsi="Times New Roman" w:hint="default"/>
        </w:rPr>
        <w:t>13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 on cervical cancer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patients in Zaria, Northern Nigeria using 70 female patients with cancer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of cervix revealed that anaemia occurred in 34.29% of them requiring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blood transfusion.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10"/>
          <w:szCs w:val="1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30"/>
          <w:szCs w:val="30"/>
          <w:rFonts w:ascii="Times New Roman" w:eastAsia="Times New Roman" w:hAnsi="Times New Roman" w:hint="default"/>
        </w:rPr>
      </w:pP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The impact of anaemia on radiotherapy has been well investigated. In a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retrospective study of 889 patients of head and neck tumour treated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with radiotherapy, long term outcome were evaluated.</w:t>
      </w:r>
      <w:r>
        <w:rPr>
          <w:vertAlign w:val="superscript"/>
          <w:position w:val="0"/>
          <w:sz w:val="30"/>
          <w:szCs w:val="30"/>
          <w:rFonts w:ascii="Times New Roman" w:eastAsia="Times New Roman" w:hAnsi="Times New Roman" w:hint="default"/>
        </w:rPr>
        <w:t>14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 The estimated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five-year survival rate for patients with Hb less than 13g/dl for males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and less than 12g/dl for females was 58.2% compared with 28.4% for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patients with Hb level below these respective values (P &lt; 0.0001).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Dische et al</w:t>
      </w:r>
      <w:r>
        <w:rPr>
          <w:vertAlign w:val="superscript"/>
          <w:position w:val="0"/>
          <w:sz w:val="30"/>
          <w:szCs w:val="30"/>
          <w:rFonts w:ascii="Times New Roman" w:eastAsia="Times New Roman" w:hAnsi="Times New Roman" w:hint="default"/>
        </w:rPr>
        <w:t>15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 has shown that a group of 37 patients treated with 6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fractions of radiotherapy regimen for cancer of the lung and with a Hb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concentration level of less than 13g/dl had worse survival than 72 cases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with Hb greater than 13g/dl. In another study by Warde et al</w:t>
      </w:r>
      <w:r>
        <w:rPr>
          <w:vertAlign w:val="superscript"/>
          <w:position w:val="0"/>
          <w:sz w:val="30"/>
          <w:szCs w:val="30"/>
          <w:rFonts w:ascii="Times New Roman" w:eastAsia="Times New Roman" w:hAnsi="Times New Roman" w:hint="default"/>
        </w:rPr>
        <w:t>16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 using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735 patients with T</w:t>
      </w:r>
      <w:r>
        <w:rPr>
          <w:vertAlign w:val="subscript"/>
          <w:position w:val="0"/>
          <w:sz w:val="30"/>
          <w:szCs w:val="30"/>
          <w:rFonts w:ascii="Times New Roman" w:eastAsia="Times New Roman" w:hAnsi="Times New Roman" w:hint="default"/>
        </w:rPr>
        <w:t>1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>/T</w:t>
      </w:r>
      <w:r>
        <w:rPr>
          <w:vertAlign w:val="subscript"/>
          <w:position w:val="0"/>
          <w:sz w:val="30"/>
          <w:szCs w:val="30"/>
          <w:rFonts w:ascii="Times New Roman" w:eastAsia="Times New Roman" w:hAnsi="Times New Roman" w:hint="default"/>
        </w:rPr>
        <w:t>2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 glottic cancer treated with radiotherapy alone,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the pretreatment Hb level was found to be independent prognostic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factor for loco-regional control. This observation was in agreement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with previous studies on effect of pre-treatment Hb level on response to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cancer therapy.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color w:val="0D0D0D" w:themeColor="text1" w:themeTint="F2"/>
          <w:position w:val="0"/>
          <w:sz w:val="30"/>
          <w:szCs w:val="30"/>
          <w:rFonts w:ascii="Times New Roman" w:eastAsia="Times New Roman" w:hAnsi="Times New Roman" w:hint="default"/>
        </w:rPr>
      </w:pP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Another study from Kiel Germany</w:t>
      </w:r>
      <w:r>
        <w:rPr>
          <w:vertAlign w:val="superscript"/>
          <w:position w:val="0"/>
          <w:sz w:val="30"/>
          <w:szCs w:val="30"/>
          <w:rFonts w:ascii="Times New Roman" w:eastAsia="Times New Roman" w:hAnsi="Times New Roman" w:hint="default"/>
        </w:rPr>
        <w:t xml:space="preserve">17   </w:t>
      </w:r>
      <w:r>
        <w:rPr>
          <w:color w:val="0D0D0D" w:themeColor="text1" w:themeTint="F2"/>
          <w:position w:val="0"/>
          <w:sz w:val="30"/>
          <w:szCs w:val="30"/>
          <w:rFonts w:ascii="Times New Roman" w:eastAsia="Times New Roman" w:hAnsi="Times New Roman" w:hint="default"/>
        </w:rPr>
        <w:t xml:space="preserve">examined 96 patients with cancer </w:t>
      </w:r>
      <w:r>
        <w:rPr>
          <w:color w:val="0D0D0D" w:themeColor="text1" w:themeTint="F2"/>
          <w:position w:val="0"/>
          <w:sz w:val="30"/>
          <w:szCs w:val="30"/>
          <w:rFonts w:ascii="Times New Roman" w:eastAsia="Times New Roman" w:hAnsi="Times New Roman" w:hint="default"/>
        </w:rPr>
        <w:t xml:space="preserve">treated with radiotherapy with doses rangingfrom30-60 Gray .A shorter </w:t>
      </w:r>
      <w:r>
        <w:rPr>
          <w:color w:val="0D0D0D" w:themeColor="text1" w:themeTint="F2"/>
          <w:position w:val="0"/>
          <w:sz w:val="30"/>
          <w:szCs w:val="30"/>
          <w:rFonts w:ascii="Times New Roman" w:eastAsia="Times New Roman" w:hAnsi="Times New Roman" w:hint="default"/>
        </w:rPr>
        <w:t xml:space="preserve">survival was seen in eight (8) patients or Hb less than 11g/dl </w:t>
      </w:r>
      <w:r>
        <w:rPr>
          <w:color w:val="0D0D0D" w:themeColor="text1" w:themeTint="F2"/>
          <w:position w:val="0"/>
          <w:sz w:val="30"/>
          <w:szCs w:val="30"/>
          <w:rFonts w:ascii="Times New Roman" w:eastAsia="Times New Roman" w:hAnsi="Times New Roman" w:hint="default"/>
        </w:rPr>
        <w:t xml:space="preserve">irrespective of radiation dose delivered. This report was significant as it </w:t>
      </w:r>
      <w:r>
        <w:rPr>
          <w:color w:val="0D0D0D" w:themeColor="text1" w:themeTint="F2"/>
          <w:position w:val="0"/>
          <w:sz w:val="30"/>
          <w:szCs w:val="30"/>
          <w:rFonts w:ascii="Times New Roman" w:eastAsia="Times New Roman" w:hAnsi="Times New Roman" w:hint="default"/>
        </w:rPr>
        <w:t xml:space="preserve">emphasized the importance of Hb concentration level in overall </w:t>
      </w:r>
      <w:r>
        <w:rPr>
          <w:color w:val="0D0D0D" w:themeColor="text1" w:themeTint="F2"/>
          <w:position w:val="0"/>
          <w:sz w:val="30"/>
          <w:szCs w:val="30"/>
          <w:rFonts w:ascii="Times New Roman" w:eastAsia="Times New Roman" w:hAnsi="Times New Roman" w:hint="default"/>
        </w:rPr>
        <w:t xml:space="preserve">survival and quality of life of cancer patients undergoing radiotherapy </w:t>
      </w:r>
      <w:r>
        <w:rPr>
          <w:color w:val="0D0D0D" w:themeColor="text1" w:themeTint="F2"/>
          <w:position w:val="0"/>
          <w:sz w:val="30"/>
          <w:szCs w:val="30"/>
          <w:rFonts w:ascii="Times New Roman" w:eastAsia="Times New Roman" w:hAnsi="Times New Roman" w:hint="default"/>
        </w:rPr>
        <w:t xml:space="preserve">irrespective of radiation dose.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10"/>
          <w:szCs w:val="1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30"/>
          <w:szCs w:val="30"/>
          <w:rFonts w:ascii="Times New Roman" w:eastAsia="Times New Roman" w:hAnsi="Times New Roman" w:hint="default"/>
        </w:rPr>
      </w:pP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In different studies, Hong et al</w:t>
      </w:r>
      <w:r>
        <w:rPr>
          <w:vertAlign w:val="superscript"/>
          <w:position w:val="0"/>
          <w:sz w:val="30"/>
          <w:szCs w:val="30"/>
          <w:rFonts w:ascii="Times New Roman" w:eastAsia="Times New Roman" w:hAnsi="Times New Roman" w:hint="default"/>
        </w:rPr>
        <w:t>18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 found that there was a trend of partial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response to radiotherapy being associated with lower Hb level that did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not reach statistical significance. This result was not surprising as many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confounding factors may have influenced the outcome of this result.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10"/>
          <w:szCs w:val="1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30"/>
          <w:szCs w:val="30"/>
          <w:rFonts w:ascii="Times New Roman" w:eastAsia="Times New Roman" w:hAnsi="Times New Roman" w:hint="default"/>
        </w:rPr>
      </w:pP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Harrison et al</w:t>
      </w:r>
      <w:r>
        <w:rPr>
          <w:vertAlign w:val="superscript"/>
          <w:position w:val="0"/>
          <w:sz w:val="30"/>
          <w:szCs w:val="30"/>
          <w:rFonts w:ascii="Times New Roman" w:eastAsia="Times New Roman" w:hAnsi="Times New Roman" w:hint="default"/>
        </w:rPr>
        <w:t>19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 found that 202 randomly selected patients who were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referred for Radiation Oncology evaluation, and who ultimately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received radiotherapy. The results showed that 48% of these patients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presented with anaemia, defined as Hb &lt; 12g/dl and a total of 57%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ultimately became anaemia by the end of therapy.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10"/>
          <w:szCs w:val="1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30"/>
          <w:szCs w:val="30"/>
          <w:rFonts w:ascii="Times New Roman" w:eastAsia="Times New Roman" w:hAnsi="Times New Roman" w:hint="default"/>
        </w:rPr>
      </w:pP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Their study</w:t>
      </w:r>
      <w:r>
        <w:rPr>
          <w:vertAlign w:val="superscript"/>
          <w:position w:val="0"/>
          <w:sz w:val="30"/>
          <w:szCs w:val="30"/>
          <w:rFonts w:ascii="Times New Roman" w:eastAsia="Times New Roman" w:hAnsi="Times New Roman" w:hint="default"/>
        </w:rPr>
        <w:t xml:space="preserve">19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supported that anaemia was more common in female than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male when stratified by sex, 32% of male and 57% of female presented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with anaemia, which increased to 51% of men and 64% of women by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the end of treatment.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30"/>
          <w:szCs w:val="30"/>
          <w:rFonts w:ascii="Times New Roman" w:eastAsia="Times New Roman" w:hAnsi="Times New Roman" w:hint="default"/>
        </w:rPr>
      </w:pP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Many studied have documented the association between anaemia and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poor outcome in cancer of head and neck, respiratory track, pelvic and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genito urinary organs.</w:t>
      </w:r>
      <w:r>
        <w:rPr>
          <w:vertAlign w:val="superscript"/>
          <w:position w:val="0"/>
          <w:sz w:val="30"/>
          <w:szCs w:val="30"/>
          <w:rFonts w:ascii="Times New Roman" w:eastAsia="Times New Roman" w:hAnsi="Times New Roman" w:hint="default"/>
        </w:rPr>
        <w:t>20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 In another study, Overgaard et al</w:t>
      </w:r>
      <w:r>
        <w:rPr>
          <w:vertAlign w:val="superscript"/>
          <w:position w:val="0"/>
          <w:sz w:val="30"/>
          <w:szCs w:val="30"/>
          <w:rFonts w:ascii="Times New Roman" w:eastAsia="Times New Roman" w:hAnsi="Times New Roman" w:hint="default"/>
        </w:rPr>
        <w:t>21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 were among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the first investigators to observe a correlation between loco-regional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tumour control and haemoglobin  concentration .In one report, men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with prostate cancer experienced increase in anaemia during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>radiotherapy.</w:t>
      </w:r>
      <w:r>
        <w:rPr>
          <w:vertAlign w:val="superscript"/>
          <w:position w:val="0"/>
          <w:sz w:val="30"/>
          <w:szCs w:val="30"/>
          <w:rFonts w:ascii="Times New Roman" w:eastAsia="Times New Roman" w:hAnsi="Times New Roman" w:hint="default"/>
        </w:rPr>
        <w:t>22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10"/>
          <w:szCs w:val="1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30"/>
          <w:szCs w:val="30"/>
          <w:rFonts w:ascii="Times New Roman" w:eastAsia="Times New Roman" w:hAnsi="Times New Roman" w:hint="default"/>
        </w:rPr>
      </w:pP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Tarnawski et al</w:t>
      </w:r>
      <w:r>
        <w:rPr>
          <w:vertAlign w:val="superscript"/>
          <w:position w:val="0"/>
          <w:sz w:val="30"/>
          <w:szCs w:val="30"/>
          <w:rFonts w:ascii="Times New Roman" w:eastAsia="Times New Roman" w:hAnsi="Times New Roman" w:hint="default"/>
        </w:rPr>
        <w:t>23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 analyzed 847 cases of supraglottic laryngeal cancer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managed with radical radiotherapy revealed that haemoglobin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concentration throughout treatment was a more significant prognostic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factor than pre-treatment haemoglobin. They were of the view that on-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treatment haemoglobin level has more influence on treatment outcome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than baseline or pre-treatment haemoglobin level.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10"/>
          <w:szCs w:val="1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30"/>
          <w:szCs w:val="30"/>
          <w:rFonts w:ascii="Times New Roman" w:eastAsia="Times New Roman" w:hAnsi="Times New Roman" w:hint="default"/>
        </w:rPr>
      </w:pP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Although blood transfusion is the fastest means to alleviate anaemia-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related symptoms, there are both short and long term risk associated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with it.</w:t>
      </w:r>
      <w:r>
        <w:rPr>
          <w:vertAlign w:val="superscript"/>
          <w:position w:val="0"/>
          <w:sz w:val="30"/>
          <w:szCs w:val="30"/>
          <w:rFonts w:ascii="Times New Roman" w:eastAsia="Times New Roman" w:hAnsi="Times New Roman" w:hint="default"/>
        </w:rPr>
        <w:t>24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 Treating anaemia with blood trasnfusion can be associated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with problems of allo-immunization, allergic reactions, circulation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overload, immune suppression,</w:t>
      </w:r>
      <w:r>
        <w:rPr>
          <w:vertAlign w:val="superscript"/>
          <w:position w:val="0"/>
          <w:sz w:val="30"/>
          <w:szCs w:val="30"/>
          <w:rFonts w:ascii="Times New Roman" w:eastAsia="Times New Roman" w:hAnsi="Times New Roman" w:hint="default"/>
        </w:rPr>
        <w:t>25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 short-lived elevation in Hb level</w:t>
      </w:r>
      <w:r>
        <w:rPr>
          <w:vertAlign w:val="superscript"/>
          <w:position w:val="0"/>
          <w:sz w:val="30"/>
          <w:szCs w:val="30"/>
          <w:rFonts w:ascii="Times New Roman" w:eastAsia="Times New Roman" w:hAnsi="Times New Roman" w:hint="default"/>
        </w:rPr>
        <w:t>26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 and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lack of blood supply in many countries.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10"/>
          <w:szCs w:val="1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30"/>
          <w:szCs w:val="30"/>
          <w:rFonts w:ascii="Times New Roman" w:eastAsia="Times New Roman" w:hAnsi="Times New Roman" w:hint="default"/>
        </w:rPr>
      </w:pP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The use of erythropoietin (rh Epo) overcomes many of these drawbacks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and has been shown to reduce transfusion requirement</w:t>
      </w:r>
      <w:r>
        <w:rPr>
          <w:vertAlign w:val="superscript"/>
          <w:position w:val="0"/>
          <w:sz w:val="30"/>
          <w:szCs w:val="30"/>
          <w:rFonts w:ascii="Times New Roman" w:eastAsia="Times New Roman" w:hAnsi="Times New Roman" w:hint="default"/>
        </w:rPr>
        <w:t>27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 and increased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quality of life.</w:t>
      </w:r>
      <w:r>
        <w:rPr>
          <w:vertAlign w:val="superscript"/>
          <w:position w:val="0"/>
          <w:sz w:val="30"/>
          <w:szCs w:val="30"/>
          <w:rFonts w:ascii="Times New Roman" w:eastAsia="Times New Roman" w:hAnsi="Times New Roman" w:hint="default"/>
        </w:rPr>
        <w:t>28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10"/>
          <w:szCs w:val="1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30"/>
          <w:szCs w:val="30"/>
          <w:rFonts w:ascii="Times New Roman" w:eastAsia="Times New Roman" w:hAnsi="Times New Roman" w:hint="default"/>
        </w:rPr>
      </w:pP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Evaluation of anaemia is very important in cancer patients undergoing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radiotherapy and chemotherapy as hypoxic cells are known to be 2 – 6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times more radio-resistance and chemo-resistance than aerated cells.</w:t>
      </w:r>
      <w:r>
        <w:rPr>
          <w:vertAlign w:val="superscript"/>
          <w:position w:val="0"/>
          <w:sz w:val="30"/>
          <w:szCs w:val="30"/>
          <w:rFonts w:ascii="Times New Roman" w:eastAsia="Times New Roman" w:hAnsi="Times New Roman" w:hint="default"/>
        </w:rPr>
        <w:t>29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10"/>
          <w:szCs w:val="1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30"/>
          <w:szCs w:val="3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30"/>
          <w:szCs w:val="3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30"/>
          <w:szCs w:val="3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30"/>
          <w:szCs w:val="3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30"/>
          <w:szCs w:val="3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30"/>
          <w:szCs w:val="3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30"/>
          <w:szCs w:val="3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30"/>
          <w:szCs w:val="3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30"/>
          <w:szCs w:val="3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30"/>
          <w:szCs w:val="3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30"/>
          <w:szCs w:val="30"/>
          <w:rFonts w:ascii="Times New Roman" w:eastAsia="Times New Roman" w:hAnsi="Times New Roman" w:hint="default"/>
        </w:rPr>
      </w:pPr>
      <w:r>
        <w:rPr>
          <w:b w:val="1"/>
          <w:position w:val="0"/>
          <w:sz w:val="30"/>
          <w:szCs w:val="30"/>
          <w:rFonts w:ascii="Times New Roman" w:eastAsia="Times New Roman" w:hAnsi="Times New Roman" w:hint="default"/>
        </w:rPr>
        <w:t xml:space="preserve">Materials and Methods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30"/>
          <w:szCs w:val="30"/>
          <w:rFonts w:ascii="Times New Roman" w:eastAsia="Times New Roman" w:hAnsi="Times New Roman" w:hint="default"/>
        </w:rPr>
      </w:pP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A Hospitals Based prospective study. The study was approved by the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National Hospital Abuja, Nigeria Research and Ethics Committee. 63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patients with solid malignances with intent for radical treatment were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recruited within a period of 8 months (September 2012 – May 2013).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All the participants gave their informed consent, demographic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characteristics and their oncologic diseases were gathered.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10"/>
          <w:szCs w:val="1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30"/>
          <w:szCs w:val="30"/>
          <w:rFonts w:ascii="Times New Roman" w:eastAsia="Times New Roman" w:hAnsi="Times New Roman" w:hint="default"/>
        </w:rPr>
      </w:pP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Patient’s baseline or pretreatment haemoglobin (Hb) were measured on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the first day of consultation. Patients were simulated and treated with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Linear Accelerator at 2Gy per fraction. The Hb level of the participants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were measured once every 2 weeks in the course of radiotherapy. Also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their blood film pictures were read and analyzed. The whole process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was terminated after 3 consecutive haemoglobin reading or after   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week 6. 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10"/>
          <w:szCs w:val="1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30"/>
          <w:szCs w:val="30"/>
          <w:rFonts w:ascii="Times New Roman" w:eastAsia="Times New Roman" w:hAnsi="Times New Roman" w:hint="default"/>
        </w:rPr>
      </w:pPr>
      <w:r>
        <w:rPr>
          <w:b w:val="1"/>
          <w:position w:val="0"/>
          <w:sz w:val="30"/>
          <w:szCs w:val="30"/>
          <w:rFonts w:ascii="Times New Roman" w:eastAsia="Times New Roman" w:hAnsi="Times New Roman" w:hint="default"/>
        </w:rPr>
        <w:t xml:space="preserve">Exclusion Criteria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30"/>
          <w:szCs w:val="30"/>
          <w:rFonts w:ascii="Times New Roman" w:eastAsia="Times New Roman" w:hAnsi="Times New Roman" w:hint="default"/>
        </w:rPr>
      </w:pP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Exclusion criteria: palliative intent, patients less than 18 years of age,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haematological malignancies, patients on follow-up or irregular with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treatment, Hb &lt; 12g/dl for male, Hb &lt; 11g/dl for female, WHO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performance status &gt; 2.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10"/>
          <w:szCs w:val="1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30"/>
          <w:szCs w:val="30"/>
          <w:rFonts w:ascii="Times New Roman" w:eastAsia="Times New Roman" w:hAnsi="Times New Roman" w:hint="default"/>
        </w:rPr>
      </w:pP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Anaemia was classified for this study into: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30"/>
          <w:szCs w:val="30"/>
          <w:rFonts w:ascii="Times New Roman" w:eastAsia="Times New Roman" w:hAnsi="Times New Roman" w:hint="default"/>
        </w:rPr>
      </w:pP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Less than 10g/dl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ab/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ab/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>-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ab/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severe anaemia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30"/>
          <w:szCs w:val="30"/>
          <w:rFonts w:ascii="Times New Roman" w:eastAsia="Times New Roman" w:hAnsi="Times New Roman" w:hint="default"/>
        </w:rPr>
      </w:pP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10 – 10.9g/dl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ab/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ab/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>-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ab/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moderate anaemia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30"/>
          <w:szCs w:val="30"/>
          <w:rFonts w:ascii="Times New Roman" w:eastAsia="Times New Roman" w:hAnsi="Times New Roman" w:hint="default"/>
        </w:rPr>
      </w:pP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11 – 12g/dl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ab/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ab/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ab/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>-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ab/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mild anaemia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30"/>
          <w:szCs w:val="30"/>
          <w:rFonts w:ascii="Times New Roman" w:eastAsia="Times New Roman" w:hAnsi="Times New Roman" w:hint="default"/>
        </w:rPr>
      </w:pP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&gt; 12g/dl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ab/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ab/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ab/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>-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ab/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>normal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30"/>
          <w:szCs w:val="30"/>
          <w:rFonts w:ascii="Times New Roman" w:eastAsia="Times New Roman" w:hAnsi="Times New Roman" w:hint="default"/>
        </w:rPr>
      </w:pPr>
      <w:r>
        <w:rPr>
          <w:b w:val="1"/>
          <w:position w:val="0"/>
          <w:sz w:val="30"/>
          <w:szCs w:val="30"/>
          <w:rFonts w:ascii="Times New Roman" w:eastAsia="Times New Roman" w:hAnsi="Times New Roman" w:hint="default"/>
        </w:rPr>
        <w:t xml:space="preserve">Result, Data Analysis and Interpretation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30"/>
          <w:szCs w:val="30"/>
          <w:rFonts w:ascii="Times New Roman" w:eastAsia="Times New Roman" w:hAnsi="Times New Roman" w:hint="default"/>
        </w:rPr>
      </w:pP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Data was collected and analyzed using Standard Statistical Package for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Social Science (SPSS) version 10.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30"/>
          <w:szCs w:val="30"/>
          <w:rFonts w:ascii="Times New Roman" w:eastAsia="Times New Roman" w:hAnsi="Times New Roman" w:hint="default"/>
        </w:rPr>
      </w:pP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Table 1A showed the demographic distribution of the study population.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A total of 63 cancer patients participated in the study. The age range of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the patients was between 25 – 75 years, with a median value of 50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years. 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10"/>
          <w:szCs w:val="10"/>
          <w:rFonts w:ascii="Times New Roman" w:eastAsia="Times New Roman" w:hAnsi="Times New Roman" w:hint="default"/>
        </w:rPr>
      </w:pPr>
      <w:r>
        <w:rPr>
          <w:position w:val="0"/>
          <w:sz w:val="10"/>
          <w:szCs w:val="10"/>
          <w:rFonts w:ascii="Times New Roman" w:eastAsia="Times New Roman" w:hAnsi="Times New Roman" w:hint="default"/>
        </w:rPr>
        <w:t>::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30"/>
          <w:szCs w:val="30"/>
          <w:rFonts w:ascii="Times New Roman" w:eastAsia="Times New Roman" w:hAnsi="Times New Roman" w:hint="default"/>
        </w:rPr>
      </w:pPr>
      <w:r>
        <w:rPr>
          <w:b w:val="1"/>
          <w:position w:val="0"/>
          <w:sz w:val="30"/>
          <w:szCs w:val="30"/>
          <w:rFonts w:ascii="Times New Roman" w:eastAsia="Times New Roman" w:hAnsi="Times New Roman" w:hint="default"/>
        </w:rPr>
        <w:t xml:space="preserve">Table 1: Demographic of the Study Population</w:t>
      </w:r>
    </w:p>
    <w:tbl>
      <w:tblPr>
        <w:tblStyle w:val="PO37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8" w:type="dxa"/>
          <w:top w:w="0" w:type="dxa"/>
          <w:right w:w="108" w:type="dxa"/>
          <w:bottom w:w="0" w:type="dxa"/>
        </w:tblCellMar>
        <w:tblW w:w="8100" w:type="dxa"/>
        <w:tblInd w:w="985" w:type="dxa"/>
        <w:tblLook w:val="0004A0" w:firstRow="1" w:lastRow="0" w:firstColumn="1" w:lastColumn="0" w:noHBand="0" w:noVBand="1"/>
        <w:tblLayout w:type="fixed"/>
      </w:tblPr>
      <w:tblGrid>
        <w:gridCol w:w="3150"/>
        <w:gridCol w:w="2880"/>
        <w:gridCol w:w="2070"/>
      </w:tblGrid>
      <w:tr>
        <w:trPr/>
        <w:tc>
          <w:tcPr>
            <w:tcW w:type="dxa" w:w="315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b w:val="1"/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b w:val="1"/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Variables</w:t>
            </w:r>
          </w:p>
        </w:tc>
        <w:tc>
          <w:tcPr>
            <w:tcW w:type="dxa" w:w="4950"/>
            <w:vAlign w:val="top"/>
            <w:gridSpan w:val="2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b w:val="1"/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Radiotherapy</w:t>
            </w:r>
          </w:p>
        </w:tc>
      </w:tr>
      <w:tr>
        <w:trPr/>
        <w:tc>
          <w:tcPr>
            <w:tcW w:type="dxa" w:w="315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b w:val="1"/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b w:val="1"/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Age</w:t>
            </w:r>
          </w:p>
        </w:tc>
        <w:tc>
          <w:tcPr>
            <w:tcW w:type="dxa" w:w="288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b w:val="1"/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b w:val="1"/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Number</w:t>
            </w:r>
          </w:p>
        </w:tc>
        <w:tc>
          <w:tcPr>
            <w:tcW w:type="dxa" w:w="207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360" w:before="0" w:after="0"/>
              <w:ind w:right="0" w:firstLine="0"/>
              <w:rPr>
                <w:b w:val="1"/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b w:val="1"/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%</w:t>
            </w:r>
          </w:p>
        </w:tc>
      </w:tr>
      <w:tr>
        <w:trPr/>
        <w:tc>
          <w:tcPr>
            <w:tcW w:type="dxa" w:w="315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 xml:space="preserve">25 – 34</w:t>
            </w:r>
          </w:p>
        </w:tc>
        <w:tc>
          <w:tcPr>
            <w:tcW w:type="dxa" w:w="288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11</w:t>
            </w:r>
          </w:p>
        </w:tc>
        <w:tc>
          <w:tcPr>
            <w:tcW w:type="dxa" w:w="207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17.5</w:t>
            </w:r>
          </w:p>
        </w:tc>
      </w:tr>
      <w:tr>
        <w:trPr/>
        <w:tc>
          <w:tcPr>
            <w:tcW w:type="dxa" w:w="315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 xml:space="preserve">35 – 44</w:t>
            </w:r>
          </w:p>
        </w:tc>
        <w:tc>
          <w:tcPr>
            <w:tcW w:type="dxa" w:w="288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19</w:t>
            </w:r>
          </w:p>
        </w:tc>
        <w:tc>
          <w:tcPr>
            <w:tcW w:type="dxa" w:w="207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30.2</w:t>
            </w:r>
          </w:p>
        </w:tc>
      </w:tr>
      <w:tr>
        <w:trPr/>
        <w:tc>
          <w:tcPr>
            <w:tcW w:type="dxa" w:w="315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 xml:space="preserve">45 – 54</w:t>
            </w:r>
          </w:p>
        </w:tc>
        <w:tc>
          <w:tcPr>
            <w:tcW w:type="dxa" w:w="288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10</w:t>
            </w:r>
          </w:p>
        </w:tc>
        <w:tc>
          <w:tcPr>
            <w:tcW w:type="dxa" w:w="207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15.9</w:t>
            </w:r>
          </w:p>
        </w:tc>
      </w:tr>
      <w:tr>
        <w:trPr/>
        <w:tc>
          <w:tcPr>
            <w:tcW w:type="dxa" w:w="315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 xml:space="preserve">55 – 64</w:t>
            </w:r>
          </w:p>
        </w:tc>
        <w:tc>
          <w:tcPr>
            <w:tcW w:type="dxa" w:w="288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11</w:t>
            </w:r>
          </w:p>
        </w:tc>
        <w:tc>
          <w:tcPr>
            <w:tcW w:type="dxa" w:w="207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17.5</w:t>
            </w:r>
          </w:p>
        </w:tc>
      </w:tr>
      <w:tr>
        <w:trPr/>
        <w:tc>
          <w:tcPr>
            <w:tcW w:type="dxa" w:w="315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 xml:space="preserve">65 – 74</w:t>
            </w:r>
          </w:p>
        </w:tc>
        <w:tc>
          <w:tcPr>
            <w:tcW w:type="dxa" w:w="288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8</w:t>
            </w:r>
          </w:p>
        </w:tc>
        <w:tc>
          <w:tcPr>
            <w:tcW w:type="dxa" w:w="207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12.7</w:t>
            </w:r>
          </w:p>
        </w:tc>
      </w:tr>
      <w:tr>
        <w:trPr/>
        <w:tc>
          <w:tcPr>
            <w:tcW w:type="dxa" w:w="315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75+</w:t>
            </w:r>
          </w:p>
        </w:tc>
        <w:tc>
          <w:tcPr>
            <w:tcW w:type="dxa" w:w="288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4</w:t>
            </w:r>
          </w:p>
        </w:tc>
        <w:tc>
          <w:tcPr>
            <w:tcW w:type="dxa" w:w="207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6.3</w:t>
            </w:r>
          </w:p>
        </w:tc>
      </w:tr>
      <w:tr>
        <w:trPr/>
        <w:tc>
          <w:tcPr>
            <w:tcW w:type="dxa" w:w="315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b w:val="1"/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b w:val="1"/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Total</w:t>
            </w:r>
          </w:p>
        </w:tc>
        <w:tc>
          <w:tcPr>
            <w:tcW w:type="dxa" w:w="288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b w:val="1"/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b w:val="1"/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63</w:t>
            </w:r>
          </w:p>
        </w:tc>
        <w:tc>
          <w:tcPr>
            <w:tcW w:type="dxa" w:w="207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b w:val="1"/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b w:val="1"/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100</w:t>
            </w:r>
          </w:p>
        </w:tc>
      </w:tr>
    </w:tbl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30"/>
          <w:szCs w:val="3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30"/>
          <w:szCs w:val="30"/>
          <w:rFonts w:ascii="Times New Roman" w:eastAsia="Times New Roman" w:hAnsi="Times New Roman" w:hint="default"/>
        </w:rPr>
      </w:pP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Table 1B</w:t>
      </w:r>
      <w:r>
        <w:rPr>
          <w:b w:val="1"/>
          <w:position w:val="0"/>
          <w:sz w:val="30"/>
          <w:szCs w:val="30"/>
          <w:rFonts w:ascii="Times New Roman" w:eastAsia="Times New Roman" w:hAnsi="Times New Roman" w:hint="default"/>
        </w:rPr>
        <w:t xml:space="preserve">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was demography of the study population based on sex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distribution. Those on radiotherapy showed that 5 were male while 58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were female. The sex distribution showed that the female were greater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in population 92.1% than male 7.9%.</w:t>
      </w:r>
    </w:p>
    <w:tbl>
      <w:tblPr>
        <w:tblStyle w:val="PO37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8" w:type="dxa"/>
          <w:top w:w="0" w:type="dxa"/>
          <w:right w:w="108" w:type="dxa"/>
          <w:bottom w:w="0" w:type="dxa"/>
        </w:tblCellMar>
        <w:tblW w:w="7276" w:type="dxa"/>
        <w:tblInd w:w="1809" w:type="dxa"/>
        <w:tblLook w:val="0004A0" w:firstRow="1" w:lastRow="0" w:firstColumn="1" w:lastColumn="0" w:noHBand="0" w:noVBand="1"/>
        <w:tblLayout w:type="fixed"/>
      </w:tblPr>
      <w:tblGrid>
        <w:gridCol w:w="2326"/>
        <w:gridCol w:w="2880"/>
        <w:gridCol w:w="2070"/>
      </w:tblGrid>
      <w:tr>
        <w:trPr/>
        <w:tc>
          <w:tcPr>
            <w:tcW w:type="dxa" w:w="2326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b w:val="1"/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b w:val="1"/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Variables</w:t>
            </w:r>
          </w:p>
        </w:tc>
        <w:tc>
          <w:tcPr>
            <w:tcW w:type="dxa" w:w="4950"/>
            <w:vAlign w:val="top"/>
            <w:gridSpan w:val="2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b w:val="1"/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Radiotherapy</w:t>
            </w:r>
          </w:p>
        </w:tc>
      </w:tr>
      <w:tr>
        <w:trPr/>
        <w:tc>
          <w:tcPr>
            <w:tcW w:type="dxa" w:w="2326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b w:val="1"/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b w:val="1"/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Sex</w:t>
            </w:r>
          </w:p>
        </w:tc>
        <w:tc>
          <w:tcPr>
            <w:tcW w:type="dxa" w:w="288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b w:val="1"/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b w:val="1"/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Number</w:t>
            </w:r>
          </w:p>
        </w:tc>
        <w:tc>
          <w:tcPr>
            <w:tcW w:type="dxa" w:w="207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360" w:before="0" w:after="0"/>
              <w:ind w:right="0" w:firstLine="0"/>
              <w:rPr>
                <w:b w:val="1"/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b w:val="1"/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%</w:t>
            </w:r>
          </w:p>
        </w:tc>
      </w:tr>
      <w:tr>
        <w:trPr/>
        <w:tc>
          <w:tcPr>
            <w:tcW w:type="dxa" w:w="2326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 xml:space="preserve">Male </w:t>
            </w:r>
          </w:p>
        </w:tc>
        <w:tc>
          <w:tcPr>
            <w:tcW w:type="dxa" w:w="288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5</w:t>
            </w:r>
          </w:p>
        </w:tc>
        <w:tc>
          <w:tcPr>
            <w:tcW w:type="dxa" w:w="207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7.9</w:t>
            </w:r>
          </w:p>
        </w:tc>
      </w:tr>
      <w:tr>
        <w:trPr/>
        <w:tc>
          <w:tcPr>
            <w:tcW w:type="dxa" w:w="2326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Female</w:t>
            </w:r>
          </w:p>
        </w:tc>
        <w:tc>
          <w:tcPr>
            <w:tcW w:type="dxa" w:w="288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58</w:t>
            </w:r>
          </w:p>
        </w:tc>
        <w:tc>
          <w:tcPr>
            <w:tcW w:type="dxa" w:w="207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92.1</w:t>
            </w:r>
          </w:p>
        </w:tc>
      </w:tr>
      <w:tr>
        <w:trPr/>
        <w:tc>
          <w:tcPr>
            <w:tcW w:type="dxa" w:w="2326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b w:val="1"/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b w:val="1"/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Total</w:t>
            </w:r>
          </w:p>
        </w:tc>
        <w:tc>
          <w:tcPr>
            <w:tcW w:type="dxa" w:w="288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b w:val="1"/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b w:val="1"/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63</w:t>
            </w:r>
          </w:p>
        </w:tc>
        <w:tc>
          <w:tcPr>
            <w:tcW w:type="dxa" w:w="207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b w:val="1"/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b w:val="1"/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100</w:t>
            </w:r>
          </w:p>
        </w:tc>
      </w:tr>
    </w:tbl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30"/>
          <w:szCs w:val="30"/>
          <w:rFonts w:ascii="Times New Roman" w:eastAsia="Times New Roman" w:hAnsi="Times New Roman" w:hint="default"/>
        </w:rPr>
      </w:pPr>
      <w:r>
        <w:rPr>
          <w:b w:val="1"/>
          <w:position w:val="0"/>
          <w:sz w:val="30"/>
          <w:szCs w:val="30"/>
          <w:rFonts w:ascii="Times New Roman" w:eastAsia="Times New Roman" w:hAnsi="Times New Roman" w:hint="default"/>
        </w:rPr>
        <w:t xml:space="preserve">Table 2: Percentage Distribution of Tumour Site and Treatment </w:t>
      </w:r>
      <w:r>
        <w:rPr>
          <w:b w:val="1"/>
          <w:position w:val="0"/>
          <w:sz w:val="30"/>
          <w:szCs w:val="30"/>
          <w:rFonts w:ascii="Times New Roman" w:eastAsia="Times New Roman" w:hAnsi="Times New Roman" w:hint="default"/>
        </w:rPr>
        <w:t>Type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30"/>
          <w:szCs w:val="30"/>
          <w:rFonts w:ascii="Times New Roman" w:eastAsia="Times New Roman" w:hAnsi="Times New Roman" w:hint="default"/>
        </w:rPr>
      </w:pP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In the radiotherapy group out of 63 cancer patients, breast constituted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commonest site 47.6%.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30"/>
          <w:szCs w:val="30"/>
          <w:rFonts w:ascii="Times New Roman" w:eastAsia="Times New Roman" w:hAnsi="Times New Roman" w:hint="default"/>
        </w:rPr>
      </w:pP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 </w:t>
      </w:r>
    </w:p>
    <w:tbl>
      <w:tblPr>
        <w:tblStyle w:val="PO37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8" w:type="dxa"/>
          <w:top w:w="0" w:type="dxa"/>
          <w:right w:w="108" w:type="dxa"/>
          <w:bottom w:w="0" w:type="dxa"/>
        </w:tblCellMar>
        <w:tblW w:w="8100" w:type="dxa"/>
        <w:tblInd w:w="985" w:type="dxa"/>
        <w:tblLook w:val="0004A0" w:firstRow="1" w:lastRow="0" w:firstColumn="1" w:lastColumn="0" w:noHBand="0" w:noVBand="1"/>
        <w:tblLayout w:type="fixed"/>
      </w:tblPr>
      <w:tblGrid>
        <w:gridCol w:w="3150"/>
        <w:gridCol w:w="2880"/>
        <w:gridCol w:w="2070"/>
      </w:tblGrid>
      <w:tr>
        <w:trPr/>
        <w:tc>
          <w:tcPr>
            <w:tcW w:type="dxa" w:w="3150"/>
            <w:vAlign w:val="center"/>
            <w:vMerge w:val="restart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b w:val="1"/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b w:val="1"/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 xml:space="preserve">Tumour Site</w:t>
            </w:r>
          </w:p>
        </w:tc>
        <w:tc>
          <w:tcPr>
            <w:tcW w:type="dxa" w:w="4950"/>
            <w:vAlign w:val="top"/>
            <w:gridSpan w:val="2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b w:val="1"/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Radiotherapy</w:t>
            </w:r>
          </w:p>
        </w:tc>
      </w:tr>
      <w:tr>
        <w:trPr/>
        <w:tc>
          <w:tcPr>
            <w:tcW w:type="dxa" w:w="3150"/>
            <w:vAlign w:val="center"/>
            <w:vMerge/>
          </w:tcPr>
          <w:p/>
        </w:tc>
        <w:tc>
          <w:tcPr>
            <w:tcW w:type="dxa" w:w="288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b w:val="1"/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b w:val="1"/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Number</w:t>
            </w:r>
          </w:p>
        </w:tc>
        <w:tc>
          <w:tcPr>
            <w:tcW w:type="dxa" w:w="207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360" w:before="0" w:after="0"/>
              <w:ind w:right="0" w:firstLine="0"/>
              <w:rPr>
                <w:b w:val="1"/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b w:val="1"/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%</w:t>
            </w:r>
          </w:p>
        </w:tc>
      </w:tr>
      <w:tr>
        <w:trPr/>
        <w:tc>
          <w:tcPr>
            <w:tcW w:type="dxa" w:w="3150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 xml:space="preserve">Breast </w:t>
            </w:r>
          </w:p>
        </w:tc>
        <w:tc>
          <w:tcPr>
            <w:tcW w:type="dxa" w:w="288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30</w:t>
            </w:r>
          </w:p>
        </w:tc>
        <w:tc>
          <w:tcPr>
            <w:tcW w:type="dxa" w:w="207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47.6</w:t>
            </w:r>
          </w:p>
        </w:tc>
      </w:tr>
      <w:tr>
        <w:trPr/>
        <w:tc>
          <w:tcPr>
            <w:tcW w:type="dxa" w:w="3150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 xml:space="preserve">Gastrointestinal </w:t>
            </w:r>
          </w:p>
        </w:tc>
        <w:tc>
          <w:tcPr>
            <w:tcW w:type="dxa" w:w="288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-</w:t>
            </w:r>
          </w:p>
        </w:tc>
        <w:tc>
          <w:tcPr>
            <w:tcW w:type="dxa" w:w="207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-</w:t>
            </w:r>
          </w:p>
        </w:tc>
      </w:tr>
      <w:tr>
        <w:trPr/>
        <w:tc>
          <w:tcPr>
            <w:tcW w:type="dxa" w:w="3150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 xml:space="preserve">Head and Neck</w:t>
            </w:r>
          </w:p>
        </w:tc>
        <w:tc>
          <w:tcPr>
            <w:tcW w:type="dxa" w:w="288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5</w:t>
            </w:r>
          </w:p>
        </w:tc>
        <w:tc>
          <w:tcPr>
            <w:tcW w:type="dxa" w:w="207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7.9</w:t>
            </w:r>
          </w:p>
        </w:tc>
      </w:tr>
      <w:tr>
        <w:trPr/>
        <w:tc>
          <w:tcPr>
            <w:tcW w:type="dxa" w:w="3150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 xml:space="preserve">Urogenital </w:t>
            </w:r>
          </w:p>
        </w:tc>
        <w:tc>
          <w:tcPr>
            <w:tcW w:type="dxa" w:w="288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10</w:t>
            </w:r>
          </w:p>
        </w:tc>
        <w:tc>
          <w:tcPr>
            <w:tcW w:type="dxa" w:w="207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15.9</w:t>
            </w:r>
          </w:p>
        </w:tc>
      </w:tr>
      <w:tr>
        <w:trPr/>
        <w:tc>
          <w:tcPr>
            <w:tcW w:type="dxa" w:w="3150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Gynaecological</w:t>
            </w:r>
          </w:p>
        </w:tc>
        <w:tc>
          <w:tcPr>
            <w:tcW w:type="dxa" w:w="288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14</w:t>
            </w:r>
          </w:p>
        </w:tc>
        <w:tc>
          <w:tcPr>
            <w:tcW w:type="dxa" w:w="207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22.2</w:t>
            </w:r>
          </w:p>
        </w:tc>
      </w:tr>
      <w:tr>
        <w:trPr/>
        <w:tc>
          <w:tcPr>
            <w:tcW w:type="dxa" w:w="3150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 xml:space="preserve">Musculo skeletal </w:t>
            </w: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(sarcomas)</w:t>
            </w:r>
          </w:p>
        </w:tc>
        <w:tc>
          <w:tcPr>
            <w:tcW w:type="dxa" w:w="288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2</w:t>
            </w:r>
          </w:p>
        </w:tc>
        <w:tc>
          <w:tcPr>
            <w:tcW w:type="dxa" w:w="207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3.2</w:t>
            </w:r>
          </w:p>
        </w:tc>
      </w:tr>
      <w:tr>
        <w:trPr/>
        <w:tc>
          <w:tcPr>
            <w:tcW w:type="dxa" w:w="3150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Lung</w:t>
            </w:r>
          </w:p>
        </w:tc>
        <w:tc>
          <w:tcPr>
            <w:tcW w:type="dxa" w:w="288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2</w:t>
            </w:r>
          </w:p>
        </w:tc>
        <w:tc>
          <w:tcPr>
            <w:tcW w:type="dxa" w:w="207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3.2</w:t>
            </w:r>
          </w:p>
        </w:tc>
      </w:tr>
      <w:tr>
        <w:trPr/>
        <w:tc>
          <w:tcPr>
            <w:tcW w:type="dxa" w:w="3150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76" w:before="0" w:after="0"/>
              <w:ind w:right="0" w:firstLine="0"/>
              <w:rPr>
                <w:b w:val="1"/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b w:val="1"/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Total</w:t>
            </w:r>
          </w:p>
        </w:tc>
        <w:tc>
          <w:tcPr>
            <w:tcW w:type="dxa" w:w="288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b w:val="1"/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63</w:t>
            </w:r>
          </w:p>
        </w:tc>
        <w:tc>
          <w:tcPr>
            <w:tcW w:type="dxa" w:w="207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b w:val="1"/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b w:val="1"/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100</w:t>
            </w:r>
          </w:p>
        </w:tc>
      </w:tr>
    </w:tbl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30"/>
          <w:szCs w:val="3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30"/>
          <w:szCs w:val="3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30"/>
          <w:szCs w:val="3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30"/>
          <w:szCs w:val="3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30"/>
          <w:szCs w:val="3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30"/>
          <w:szCs w:val="3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30"/>
          <w:szCs w:val="3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30"/>
          <w:szCs w:val="3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30"/>
          <w:szCs w:val="3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30"/>
          <w:szCs w:val="3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30"/>
          <w:szCs w:val="3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30"/>
          <w:szCs w:val="30"/>
          <w:rFonts w:ascii="Times New Roman" w:eastAsia="Times New Roman" w:hAnsi="Times New Roman" w:hint="default"/>
        </w:rPr>
      </w:pPr>
      <w:r>
        <w:rPr>
          <w:b w:val="1"/>
          <w:position w:val="0"/>
          <w:sz w:val="30"/>
          <w:szCs w:val="30"/>
          <w:rFonts w:ascii="Times New Roman" w:eastAsia="Times New Roman" w:hAnsi="Times New Roman" w:hint="default"/>
        </w:rPr>
        <w:t xml:space="preserve">Table 3: Percentage Distribution by Stage of Tumour and Type of </w:t>
      </w:r>
      <w:r>
        <w:rPr>
          <w:b w:val="1"/>
          <w:position w:val="0"/>
          <w:sz w:val="30"/>
          <w:szCs w:val="30"/>
          <w:rFonts w:ascii="Times New Roman" w:eastAsia="Times New Roman" w:hAnsi="Times New Roman" w:hint="default"/>
        </w:rPr>
        <w:t>Treatment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30"/>
          <w:szCs w:val="30"/>
          <w:rFonts w:ascii="Times New Roman" w:eastAsia="Times New Roman" w:hAnsi="Times New Roman" w:hint="default"/>
        </w:rPr>
      </w:pP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Table 3 showed percentage distribution by stage of tumour and type of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treatment. The result showed that majority of the patients presented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with stage III disease radiotherapy</w:t>
      </w:r>
    </w:p>
    <w:tbl>
      <w:tblPr>
        <w:tblStyle w:val="PO37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8" w:type="dxa"/>
          <w:top w:w="0" w:type="dxa"/>
          <w:right w:w="108" w:type="dxa"/>
          <w:bottom w:w="0" w:type="dxa"/>
        </w:tblCellMar>
        <w:tblW w:w="7560" w:type="dxa"/>
        <w:tblInd w:w="1525" w:type="dxa"/>
        <w:tblLook w:val="0004A0" w:firstRow="1" w:lastRow="0" w:firstColumn="1" w:lastColumn="0" w:noHBand="0" w:noVBand="1"/>
        <w:tblLayout w:type="fixed"/>
      </w:tblPr>
      <w:tblGrid>
        <w:gridCol w:w="2610"/>
        <w:gridCol w:w="2880"/>
        <w:gridCol w:w="2070"/>
      </w:tblGrid>
      <w:tr>
        <w:trPr/>
        <w:tc>
          <w:tcPr>
            <w:tcW w:type="dxa" w:w="2610"/>
            <w:vAlign w:val="center"/>
            <w:vMerge w:val="restart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b w:val="1"/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b w:val="1"/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Stage</w:t>
            </w:r>
          </w:p>
        </w:tc>
        <w:tc>
          <w:tcPr>
            <w:tcW w:type="dxa" w:w="4950"/>
            <w:vAlign w:val="top"/>
            <w:gridSpan w:val="2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b w:val="1"/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Radiotherapy</w:t>
            </w:r>
          </w:p>
        </w:tc>
      </w:tr>
      <w:tr>
        <w:trPr/>
        <w:tc>
          <w:tcPr>
            <w:tcW w:type="dxa" w:w="2610"/>
            <w:vAlign w:val="center"/>
            <w:vMerge/>
          </w:tcPr>
          <w:p/>
        </w:tc>
        <w:tc>
          <w:tcPr>
            <w:tcW w:type="dxa" w:w="288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b w:val="1"/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b w:val="1"/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Number</w:t>
            </w:r>
          </w:p>
        </w:tc>
        <w:tc>
          <w:tcPr>
            <w:tcW w:type="dxa" w:w="207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360" w:before="0" w:after="0"/>
              <w:ind w:right="0" w:firstLine="0"/>
              <w:rPr>
                <w:b w:val="1"/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b w:val="1"/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%</w:t>
            </w:r>
          </w:p>
        </w:tc>
      </w:tr>
      <w:tr>
        <w:trPr/>
        <w:tc>
          <w:tcPr>
            <w:tcW w:type="dxa" w:w="261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I</w:t>
            </w:r>
          </w:p>
        </w:tc>
        <w:tc>
          <w:tcPr>
            <w:tcW w:type="dxa" w:w="288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1</w:t>
            </w:r>
          </w:p>
        </w:tc>
        <w:tc>
          <w:tcPr>
            <w:tcW w:type="dxa" w:w="207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1.6</w:t>
            </w:r>
          </w:p>
        </w:tc>
      </w:tr>
      <w:tr>
        <w:trPr/>
        <w:tc>
          <w:tcPr>
            <w:tcW w:type="dxa" w:w="261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II</w:t>
            </w:r>
          </w:p>
        </w:tc>
        <w:tc>
          <w:tcPr>
            <w:tcW w:type="dxa" w:w="288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15</w:t>
            </w:r>
          </w:p>
        </w:tc>
        <w:tc>
          <w:tcPr>
            <w:tcW w:type="dxa" w:w="207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23.8</w:t>
            </w:r>
          </w:p>
        </w:tc>
      </w:tr>
      <w:tr>
        <w:trPr/>
        <w:tc>
          <w:tcPr>
            <w:tcW w:type="dxa" w:w="261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III</w:t>
            </w:r>
          </w:p>
        </w:tc>
        <w:tc>
          <w:tcPr>
            <w:tcW w:type="dxa" w:w="288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47</w:t>
            </w:r>
          </w:p>
        </w:tc>
        <w:tc>
          <w:tcPr>
            <w:tcW w:type="dxa" w:w="207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74.6</w:t>
            </w:r>
          </w:p>
        </w:tc>
      </w:tr>
      <w:tr>
        <w:trPr/>
        <w:tc>
          <w:tcPr>
            <w:tcW w:type="dxa" w:w="261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IV</w:t>
            </w:r>
          </w:p>
        </w:tc>
        <w:tc>
          <w:tcPr>
            <w:tcW w:type="dxa" w:w="288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-</w:t>
            </w:r>
          </w:p>
        </w:tc>
        <w:tc>
          <w:tcPr>
            <w:tcW w:type="dxa" w:w="207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-</w:t>
            </w:r>
          </w:p>
        </w:tc>
      </w:tr>
      <w:tr>
        <w:trPr/>
        <w:tc>
          <w:tcPr>
            <w:tcW w:type="dxa" w:w="261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b w:val="1"/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b w:val="1"/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Total</w:t>
            </w:r>
          </w:p>
        </w:tc>
        <w:tc>
          <w:tcPr>
            <w:tcW w:type="dxa" w:w="288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b w:val="1"/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63</w:t>
            </w:r>
          </w:p>
        </w:tc>
        <w:tc>
          <w:tcPr>
            <w:tcW w:type="dxa" w:w="207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b w:val="1"/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b w:val="1"/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100</w:t>
            </w:r>
          </w:p>
        </w:tc>
      </w:tr>
    </w:tbl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30"/>
          <w:szCs w:val="3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30"/>
          <w:szCs w:val="3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30"/>
          <w:szCs w:val="3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30"/>
          <w:szCs w:val="3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30"/>
          <w:szCs w:val="3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30"/>
          <w:szCs w:val="3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30"/>
          <w:szCs w:val="3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30"/>
          <w:szCs w:val="3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30"/>
          <w:szCs w:val="3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30"/>
          <w:szCs w:val="3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30"/>
          <w:szCs w:val="3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30"/>
          <w:szCs w:val="3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30"/>
          <w:szCs w:val="30"/>
          <w:rFonts w:ascii="Times New Roman" w:eastAsia="Times New Roman" w:hAnsi="Times New Roman" w:hint="default"/>
        </w:rPr>
      </w:pPr>
      <w:r>
        <w:rPr>
          <w:b w:val="1"/>
          <w:position w:val="0"/>
          <w:sz w:val="30"/>
          <w:szCs w:val="30"/>
          <w:rFonts w:ascii="Times New Roman" w:eastAsia="Times New Roman" w:hAnsi="Times New Roman" w:hint="default"/>
        </w:rPr>
        <w:t xml:space="preserve">Table 4: A Table showing World Health Organization Performance </w:t>
      </w:r>
      <w:r>
        <w:rPr>
          <w:b w:val="1"/>
          <w:position w:val="0"/>
          <w:sz w:val="30"/>
          <w:szCs w:val="30"/>
          <w:rFonts w:ascii="Times New Roman" w:eastAsia="Times New Roman" w:hAnsi="Times New Roman" w:hint="default"/>
        </w:rPr>
        <w:t xml:space="preserve">Status of 0 and I of the Patients who met the WHO Inclusion </w:t>
      </w:r>
      <w:r>
        <w:rPr>
          <w:b w:val="1"/>
          <w:position w:val="0"/>
          <w:sz w:val="30"/>
          <w:szCs w:val="30"/>
          <w:rFonts w:ascii="Times New Roman" w:eastAsia="Times New Roman" w:hAnsi="Times New Roman" w:hint="default"/>
        </w:rPr>
        <w:t xml:space="preserve">Criteria for this Study.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30"/>
          <w:szCs w:val="30"/>
          <w:rFonts w:ascii="Times New Roman" w:eastAsia="Times New Roman" w:hAnsi="Times New Roman" w:hint="default"/>
        </w:rPr>
      </w:pP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From the table the total number of males with WHO performance status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0 and I were 3 and 2 respectively. While the total number of females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with WHO performance status 0 and I were 35 and 23 respectively.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10"/>
          <w:szCs w:val="1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30"/>
          <w:szCs w:val="30"/>
          <w:rFonts w:ascii="Times New Roman" w:eastAsia="Times New Roman" w:hAnsi="Times New Roman" w:hint="default"/>
        </w:rPr>
      </w:pP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The total number of males and females with WHO performance status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of 0 was 38. While the total number of male and female with </w:t>
      </w: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performance status I was 25.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10"/>
          <w:szCs w:val="1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30"/>
          <w:szCs w:val="30"/>
          <w:rFonts w:ascii="Times New Roman" w:eastAsia="Times New Roman" w:hAnsi="Times New Roman" w:hint="default"/>
        </w:rPr>
      </w:pPr>
      <w:r>
        <w:rPr>
          <w:position w:val="0"/>
          <w:sz w:val="30"/>
          <w:szCs w:val="30"/>
          <w:rFonts w:ascii="Times New Roman" w:eastAsia="Times New Roman" w:hAnsi="Times New Roman" w:hint="default"/>
        </w:rPr>
        <w:t xml:space="preserve">Female were in majority in both WHO performance status 0 and I.</w:t>
      </w:r>
    </w:p>
    <w:tbl>
      <w:tblPr>
        <w:tblStyle w:val="PO37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8" w:type="dxa"/>
          <w:top w:w="0" w:type="dxa"/>
          <w:right w:w="108" w:type="dxa"/>
          <w:bottom w:w="0" w:type="dxa"/>
        </w:tblCellMar>
        <w:tblW w:w="9350" w:type="dxa"/>
        <w:tblInd w:w="1075" w:type="dxa"/>
        <w:tblLook w:val="0004A0" w:firstRow="1" w:lastRow="0" w:firstColumn="1" w:lastColumn="0" w:noHBand="0" w:noVBand="1"/>
        <w:tblLayout w:type="fixed"/>
      </w:tblPr>
      <w:tblGrid>
        <w:gridCol w:w="1870"/>
        <w:gridCol w:w="1870"/>
        <w:gridCol w:w="1870"/>
        <w:gridCol w:w="1870"/>
        <w:gridCol w:w="1870"/>
      </w:tblGrid>
      <w:tr>
        <w:trPr/>
        <w:tc>
          <w:tcPr>
            <w:tcW w:type="dxa" w:w="1870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76" w:before="0" w:after="0"/>
              <w:ind w:right="0" w:firstLine="0"/>
              <w:rPr>
                <w:b w:val="1"/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b w:val="1"/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Therapy</w:t>
            </w:r>
          </w:p>
        </w:tc>
        <w:tc>
          <w:tcPr>
            <w:tcW w:type="dxa" w:w="7480"/>
            <w:vAlign w:val="top"/>
            <w:gridSpan w:val="4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b w:val="1"/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 xml:space="preserve">WHO Performance Status</w:t>
            </w:r>
          </w:p>
        </w:tc>
      </w:tr>
      <w:tr>
        <w:trPr/>
        <w:tc>
          <w:tcPr>
            <w:tcW w:type="dxa" w:w="1870"/>
            <w:vAlign w:val="center"/>
            <w:vMerge w:val="restart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Radiotherapy</w:t>
            </w:r>
          </w:p>
        </w:tc>
        <w:tc>
          <w:tcPr>
            <w:tcW w:type="dxa" w:w="3740"/>
            <w:vAlign w:val="top"/>
            <w:gridSpan w:val="2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b w:val="1"/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b w:val="1"/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0</w:t>
            </w:r>
          </w:p>
        </w:tc>
        <w:tc>
          <w:tcPr>
            <w:tcW w:type="dxa" w:w="3740"/>
            <w:vAlign w:val="top"/>
            <w:gridSpan w:val="2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b w:val="1"/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b w:val="1"/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I</w:t>
            </w:r>
          </w:p>
        </w:tc>
      </w:tr>
      <w:tr>
        <w:trPr/>
        <w:tc>
          <w:tcPr>
            <w:tcW w:type="dxa" w:w="1870"/>
            <w:vAlign w:val="center"/>
            <w:vMerge/>
          </w:tcPr>
          <w:p/>
        </w:tc>
        <w:tc>
          <w:tcPr>
            <w:tcW w:type="dxa" w:w="187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Male</w:t>
            </w:r>
          </w:p>
        </w:tc>
        <w:tc>
          <w:tcPr>
            <w:tcW w:type="dxa" w:w="187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Female</w:t>
            </w:r>
          </w:p>
        </w:tc>
        <w:tc>
          <w:tcPr>
            <w:tcW w:type="dxa" w:w="187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Male</w:t>
            </w:r>
          </w:p>
        </w:tc>
        <w:tc>
          <w:tcPr>
            <w:tcW w:type="dxa" w:w="187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Female</w:t>
            </w:r>
          </w:p>
        </w:tc>
      </w:tr>
      <w:tr>
        <w:trPr/>
        <w:tc>
          <w:tcPr>
            <w:tcW w:type="dxa" w:w="1870"/>
            <w:vAlign w:val="center"/>
            <w:vMerge/>
          </w:tcPr>
          <w:p/>
        </w:tc>
        <w:tc>
          <w:tcPr>
            <w:tcW w:type="dxa" w:w="187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3</w:t>
            </w:r>
          </w:p>
        </w:tc>
        <w:tc>
          <w:tcPr>
            <w:tcW w:type="dxa" w:w="187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35</w:t>
            </w:r>
          </w:p>
        </w:tc>
        <w:tc>
          <w:tcPr>
            <w:tcW w:type="dxa" w:w="187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2</w:t>
            </w:r>
          </w:p>
        </w:tc>
        <w:tc>
          <w:tcPr>
            <w:tcW w:type="dxa" w:w="1870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30"/>
                <w:szCs w:val="30"/>
                <w:rFonts w:ascii="Times New Roman" w:eastAsia="Times New Roman" w:hAnsi="Times New Roman" w:hint="default"/>
              </w:rPr>
              <w:t>23</w:t>
            </w:r>
          </w:p>
        </w:tc>
      </w:tr>
    </w:tbl>
    <w:p>
      <w:pPr>
        <w:numPr>
          <w:ilvl w:val="0"/>
          <w:numId w:val="0"/>
        </w:numPr>
        <w:jc w:val="both"/>
        <w:spacing w:lineRule="auto" w:line="360" w:before="0" w:after="0"/>
        <w:ind w:right="0" w:firstLine="0"/>
        <w:rPr>
          <w:position w:val="0"/>
          <w:sz w:val="30"/>
          <w:szCs w:val="3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right="0" w:firstLine="0"/>
        <w:rPr>
          <w:position w:val="0"/>
          <w:sz w:val="22"/>
          <w:szCs w:val="22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  <w:t xml:space="preserve">Table 5A: Percentage Distribution of Hb by Duration of Treatment for </w:t>
      </w:r>
      <w:r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  <w:t xml:space="preserve">patients undergoing Radiotherapy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Table 5a showed percentage distribution of Hb level by duration of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treatment for patients undergoing radiotherapy only. From the table it can be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noticed that there was gradual fall in the Hb level from week 0 to week 6,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while week 0 is defined as the time from initial administration of dose of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radiation to the first 2 weeks. The mean Hb level and standard deviation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from week 0, week 2, week 4 and week 6 were given as 12.6g/dl (0.98),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11.92g/dl (1.40), l1.29g/dl (1.05) and 10.89g!dl (1.18). At the end of week 6,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55.6% of the 63 patients evaluated had Hb level between 1 1-12g/dl while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only 4.8% had Hb level less 10g/dl.</w:t>
      </w:r>
    </w:p>
    <w:tbl>
      <w:tblPr>
        <w:tblStyle w:val="PO37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8" w:type="dxa"/>
          <w:top w:w="0" w:type="dxa"/>
          <w:right w:w="108" w:type="dxa"/>
          <w:bottom w:w="0" w:type="dxa"/>
        </w:tblCellMar>
        <w:tblW w:w="8550" w:type="dxa"/>
        <w:tblInd w:w="828" w:type="dxa"/>
        <w:tblLook w:val="0004A0" w:firstRow="1" w:lastRow="0" w:firstColumn="1" w:lastColumn="0" w:noHBand="0" w:noVBand="1"/>
        <w:tblLayout w:type="fixed"/>
      </w:tblPr>
      <w:tblGrid>
        <w:gridCol w:w="1226"/>
        <w:gridCol w:w="934"/>
        <w:gridCol w:w="810"/>
        <w:gridCol w:w="990"/>
        <w:gridCol w:w="810"/>
        <w:gridCol w:w="990"/>
        <w:gridCol w:w="936"/>
        <w:gridCol w:w="1044"/>
        <w:gridCol w:w="810"/>
      </w:tblGrid>
      <w:tr>
        <w:trPr/>
        <w:tc>
          <w:tcPr>
            <w:tcW w:type="dxa" w:w="1226"/>
            <w:vAlign w:val="top"/>
            <w:vMerge w:val="restart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b w:val="1"/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b w:val="1"/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Hbg/dl</w:t>
            </w:r>
          </w:p>
        </w:tc>
        <w:tc>
          <w:tcPr>
            <w:tcW w:type="dxa" w:w="7324"/>
            <w:vAlign w:val="top"/>
            <w:gridSpan w:val="8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b w:val="1"/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b w:val="1"/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 xml:space="preserve">Treatment Duration</w:t>
            </w:r>
          </w:p>
        </w:tc>
      </w:tr>
      <w:tr>
        <w:trPr/>
        <w:tc>
          <w:tcPr>
            <w:tcW w:type="dxa" w:w="1226"/>
            <w:vAlign w:val="top"/>
            <w:vMerge/>
          </w:tcPr>
          <w:p/>
        </w:tc>
        <w:tc>
          <w:tcPr>
            <w:tcW w:type="dxa" w:w="934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 xml:space="preserve">Week 0</w:t>
            </w:r>
          </w:p>
        </w:tc>
        <w:tc>
          <w:tcPr>
            <w:tcW w:type="dxa" w:w="810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%</w:t>
            </w:r>
          </w:p>
        </w:tc>
        <w:tc>
          <w:tcPr>
            <w:tcW w:type="dxa" w:w="990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 xml:space="preserve">Week 2</w:t>
            </w:r>
          </w:p>
        </w:tc>
        <w:tc>
          <w:tcPr>
            <w:tcW w:type="dxa" w:w="810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%</w:t>
            </w:r>
          </w:p>
        </w:tc>
        <w:tc>
          <w:tcPr>
            <w:tcW w:type="dxa" w:w="990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 xml:space="preserve">Week 4</w:t>
            </w:r>
          </w:p>
        </w:tc>
        <w:tc>
          <w:tcPr>
            <w:tcW w:type="dxa" w:w="936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%</w:t>
            </w:r>
          </w:p>
        </w:tc>
        <w:tc>
          <w:tcPr>
            <w:tcW w:type="dxa" w:w="1044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 xml:space="preserve">Week 6</w:t>
            </w:r>
          </w:p>
        </w:tc>
        <w:tc>
          <w:tcPr>
            <w:tcW w:type="dxa" w:w="810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%</w:t>
            </w:r>
          </w:p>
        </w:tc>
      </w:tr>
      <w:tr>
        <w:trPr/>
        <w:tc>
          <w:tcPr>
            <w:tcW w:type="dxa" w:w="1226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&lt;10</w:t>
            </w:r>
          </w:p>
        </w:tc>
        <w:tc>
          <w:tcPr>
            <w:tcW w:type="dxa" w:w="934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-</w:t>
            </w:r>
          </w:p>
        </w:tc>
        <w:tc>
          <w:tcPr>
            <w:tcW w:type="dxa" w:w="810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-</w:t>
            </w:r>
          </w:p>
        </w:tc>
        <w:tc>
          <w:tcPr>
            <w:tcW w:type="dxa" w:w="990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-</w:t>
            </w:r>
          </w:p>
        </w:tc>
        <w:tc>
          <w:tcPr>
            <w:tcW w:type="dxa" w:w="810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-</w:t>
            </w:r>
          </w:p>
        </w:tc>
        <w:tc>
          <w:tcPr>
            <w:tcW w:type="dxa" w:w="990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1</w:t>
            </w:r>
          </w:p>
        </w:tc>
        <w:tc>
          <w:tcPr>
            <w:tcW w:type="dxa" w:w="936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1.6</w:t>
            </w:r>
          </w:p>
        </w:tc>
        <w:tc>
          <w:tcPr>
            <w:tcW w:type="dxa" w:w="1044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3</w:t>
            </w:r>
          </w:p>
        </w:tc>
        <w:tc>
          <w:tcPr>
            <w:tcW w:type="dxa" w:w="810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4.8</w:t>
            </w:r>
          </w:p>
        </w:tc>
      </w:tr>
      <w:tr>
        <w:trPr/>
        <w:tc>
          <w:tcPr>
            <w:tcW w:type="dxa" w:w="1226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 xml:space="preserve">10 – 10.9</w:t>
            </w:r>
          </w:p>
        </w:tc>
        <w:tc>
          <w:tcPr>
            <w:tcW w:type="dxa" w:w="934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13</w:t>
            </w:r>
          </w:p>
        </w:tc>
        <w:tc>
          <w:tcPr>
            <w:tcW w:type="dxa" w:w="810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20.6</w:t>
            </w:r>
          </w:p>
        </w:tc>
        <w:tc>
          <w:tcPr>
            <w:tcW w:type="dxa" w:w="990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15</w:t>
            </w:r>
          </w:p>
        </w:tc>
        <w:tc>
          <w:tcPr>
            <w:tcW w:type="dxa" w:w="810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23.8</w:t>
            </w:r>
          </w:p>
        </w:tc>
        <w:tc>
          <w:tcPr>
            <w:tcW w:type="dxa" w:w="990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21</w:t>
            </w:r>
          </w:p>
        </w:tc>
        <w:tc>
          <w:tcPr>
            <w:tcW w:type="dxa" w:w="936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33.4</w:t>
            </w:r>
          </w:p>
        </w:tc>
        <w:tc>
          <w:tcPr>
            <w:tcW w:type="dxa" w:w="1044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20</w:t>
            </w:r>
          </w:p>
        </w:tc>
        <w:tc>
          <w:tcPr>
            <w:tcW w:type="dxa" w:w="810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31.7</w:t>
            </w:r>
          </w:p>
        </w:tc>
      </w:tr>
      <w:tr>
        <w:trPr/>
        <w:tc>
          <w:tcPr>
            <w:tcW w:type="dxa" w:w="1226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 xml:space="preserve">11 – 12</w:t>
            </w:r>
          </w:p>
        </w:tc>
        <w:tc>
          <w:tcPr>
            <w:tcW w:type="dxa" w:w="934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38</w:t>
            </w:r>
          </w:p>
        </w:tc>
        <w:tc>
          <w:tcPr>
            <w:tcW w:type="dxa" w:w="810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60.3</w:t>
            </w:r>
          </w:p>
        </w:tc>
        <w:tc>
          <w:tcPr>
            <w:tcW w:type="dxa" w:w="990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42</w:t>
            </w:r>
          </w:p>
        </w:tc>
        <w:tc>
          <w:tcPr>
            <w:tcW w:type="dxa" w:w="810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66.7</w:t>
            </w:r>
          </w:p>
        </w:tc>
        <w:tc>
          <w:tcPr>
            <w:tcW w:type="dxa" w:w="990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35</w:t>
            </w:r>
          </w:p>
        </w:tc>
        <w:tc>
          <w:tcPr>
            <w:tcW w:type="dxa" w:w="936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55.5</w:t>
            </w:r>
          </w:p>
        </w:tc>
        <w:tc>
          <w:tcPr>
            <w:tcW w:type="dxa" w:w="1044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35</w:t>
            </w:r>
          </w:p>
        </w:tc>
        <w:tc>
          <w:tcPr>
            <w:tcW w:type="dxa" w:w="810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55.6</w:t>
            </w:r>
          </w:p>
        </w:tc>
      </w:tr>
      <w:tr>
        <w:trPr/>
        <w:tc>
          <w:tcPr>
            <w:tcW w:type="dxa" w:w="1226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12+</w:t>
            </w:r>
          </w:p>
        </w:tc>
        <w:tc>
          <w:tcPr>
            <w:tcW w:type="dxa" w:w="934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12</w:t>
            </w:r>
          </w:p>
        </w:tc>
        <w:tc>
          <w:tcPr>
            <w:tcW w:type="dxa" w:w="810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19.1</w:t>
            </w:r>
          </w:p>
        </w:tc>
        <w:tc>
          <w:tcPr>
            <w:tcW w:type="dxa" w:w="990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6</w:t>
            </w:r>
          </w:p>
        </w:tc>
        <w:tc>
          <w:tcPr>
            <w:tcW w:type="dxa" w:w="810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9.5</w:t>
            </w:r>
          </w:p>
        </w:tc>
        <w:tc>
          <w:tcPr>
            <w:tcW w:type="dxa" w:w="990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6</w:t>
            </w:r>
          </w:p>
        </w:tc>
        <w:tc>
          <w:tcPr>
            <w:tcW w:type="dxa" w:w="936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9.5</w:t>
            </w:r>
          </w:p>
        </w:tc>
        <w:tc>
          <w:tcPr>
            <w:tcW w:type="dxa" w:w="1044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5</w:t>
            </w:r>
          </w:p>
        </w:tc>
        <w:tc>
          <w:tcPr>
            <w:tcW w:type="dxa" w:w="810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7.9</w:t>
            </w:r>
          </w:p>
        </w:tc>
      </w:tr>
      <w:tr>
        <w:trPr/>
        <w:tc>
          <w:tcPr>
            <w:tcW w:type="dxa" w:w="1226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Total</w:t>
            </w:r>
          </w:p>
        </w:tc>
        <w:tc>
          <w:tcPr>
            <w:tcW w:type="dxa" w:w="934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63</w:t>
            </w:r>
          </w:p>
        </w:tc>
        <w:tc>
          <w:tcPr>
            <w:tcW w:type="dxa" w:w="810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100</w:t>
            </w:r>
          </w:p>
        </w:tc>
        <w:tc>
          <w:tcPr>
            <w:tcW w:type="dxa" w:w="990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63</w:t>
            </w:r>
          </w:p>
        </w:tc>
        <w:tc>
          <w:tcPr>
            <w:tcW w:type="dxa" w:w="810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100</w:t>
            </w:r>
          </w:p>
        </w:tc>
        <w:tc>
          <w:tcPr>
            <w:tcW w:type="dxa" w:w="990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63</w:t>
            </w:r>
          </w:p>
        </w:tc>
        <w:tc>
          <w:tcPr>
            <w:tcW w:type="dxa" w:w="936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100</w:t>
            </w:r>
          </w:p>
        </w:tc>
        <w:tc>
          <w:tcPr>
            <w:tcW w:type="dxa" w:w="1044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63</w:t>
            </w:r>
          </w:p>
        </w:tc>
        <w:tc>
          <w:tcPr>
            <w:tcW w:type="dxa" w:w="810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100</w:t>
            </w:r>
          </w:p>
        </w:tc>
      </w:tr>
      <w:tr>
        <w:trPr/>
        <w:tc>
          <w:tcPr>
            <w:tcW w:type="dxa" w:w="1226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Mean</w:t>
            </w:r>
          </w:p>
        </w:tc>
        <w:tc>
          <w:tcPr>
            <w:tcW w:type="dxa" w:w="934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12.6</w:t>
            </w:r>
          </w:p>
        </w:tc>
        <w:tc>
          <w:tcPr>
            <w:tcW w:type="dxa" w:w="810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</w:p>
        </w:tc>
        <w:tc>
          <w:tcPr>
            <w:tcW w:type="dxa" w:w="990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11.92</w:t>
            </w:r>
          </w:p>
        </w:tc>
        <w:tc>
          <w:tcPr>
            <w:tcW w:type="dxa" w:w="810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</w:p>
        </w:tc>
        <w:tc>
          <w:tcPr>
            <w:tcW w:type="dxa" w:w="990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11.29</w:t>
            </w:r>
          </w:p>
        </w:tc>
        <w:tc>
          <w:tcPr>
            <w:tcW w:type="dxa" w:w="936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ab/>
            </w:r>
          </w:p>
        </w:tc>
        <w:tc>
          <w:tcPr>
            <w:tcW w:type="dxa" w:w="1044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10.89</w:t>
            </w:r>
          </w:p>
        </w:tc>
        <w:tc>
          <w:tcPr>
            <w:tcW w:type="dxa" w:w="810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</w:p>
        </w:tc>
      </w:tr>
      <w:tr>
        <w:trPr/>
        <w:tc>
          <w:tcPr>
            <w:tcW w:type="dxa" w:w="1226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 xml:space="preserve">Standard </w:t>
            </w: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Deviation</w:t>
            </w:r>
          </w:p>
        </w:tc>
        <w:tc>
          <w:tcPr>
            <w:tcW w:type="dxa" w:w="934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0.98</w:t>
            </w:r>
          </w:p>
        </w:tc>
        <w:tc>
          <w:tcPr>
            <w:tcW w:type="dxa" w:w="810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</w:p>
        </w:tc>
        <w:tc>
          <w:tcPr>
            <w:tcW w:type="dxa" w:w="990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1.40</w:t>
            </w:r>
          </w:p>
        </w:tc>
        <w:tc>
          <w:tcPr>
            <w:tcW w:type="dxa" w:w="810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</w:p>
        </w:tc>
        <w:tc>
          <w:tcPr>
            <w:tcW w:type="dxa" w:w="990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1.05</w:t>
            </w:r>
          </w:p>
        </w:tc>
        <w:tc>
          <w:tcPr>
            <w:tcW w:type="dxa" w:w="936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</w:p>
        </w:tc>
        <w:tc>
          <w:tcPr>
            <w:tcW w:type="dxa" w:w="1044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1.18</w:t>
            </w:r>
          </w:p>
        </w:tc>
        <w:tc>
          <w:tcPr>
            <w:tcW w:type="dxa" w:w="810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</w:p>
        </w:tc>
      </w:tr>
    </w:tbl>
    <w:p>
      <w:pPr>
        <w:numPr>
          <w:ilvl w:val="0"/>
          <w:numId w:val="0"/>
        </w:numPr>
        <w:jc w:val="left"/>
        <w:spacing w:lineRule="auto" w:line="360" w:before="0" w:after="0"/>
        <w:ind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left"/>
        <w:spacing w:lineRule="auto" w:line="360" w:before="0" w:after="0"/>
        <w:ind w:left="720" w:right="0" w:firstLine="0"/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  <w:t xml:space="preserve">Table 5B: Showing parentage distribution of patients on radiotherapy </w:t>
      </w:r>
      <w:r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  <w:t xml:space="preserve">blood film picture pattern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Table 5b showed percentage distribution of patients based on the blood film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picture during radiotherapy alone. Week 0 was defined as the time from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initial dose of radiotherapy to the first 2 weeks. While week 6 was defined as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the week after end of 3 consecutive 2 weeks recording of the blood film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pictures. It was noticed that there were variation in the blood film pattern. At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the end of week 6 that 57.1% of 63 cancer patients on radiotherapy had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normocytic normochromic and 42.9% had anaemic blood picture. This result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helped to strengthen our earlier observation on impact of radiotherapy on the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haemoglobin level of cancer patients on therapy. </w:t>
      </w:r>
    </w:p>
    <w:tbl>
      <w:tblPr>
        <w:tblStyle w:val="PO37"/>
        <w:tblpPr w:leftFromText="180" w:rightFromText="180" w:vertAnchor="text" w:horzAnchor="margin" w:tblpXSpec="center" w:tblpY="313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8" w:type="dxa"/>
          <w:top w:w="0" w:type="dxa"/>
          <w:right w:w="108" w:type="dxa"/>
          <w:bottom w:w="0" w:type="dxa"/>
        </w:tblCellMar>
        <w:tblW w:w="11245" w:type="dxa"/>
        <w:tblLook w:val="0004A0" w:firstRow="1" w:lastRow="0" w:firstColumn="1" w:lastColumn="0" w:noHBand="0" w:noVBand="1"/>
        <w:tblLayout w:type="fixed"/>
      </w:tblPr>
      <w:tblGrid>
        <w:gridCol w:w="473"/>
        <w:gridCol w:w="1487"/>
        <w:gridCol w:w="890"/>
        <w:gridCol w:w="1425"/>
        <w:gridCol w:w="895"/>
        <w:gridCol w:w="1425"/>
        <w:gridCol w:w="523"/>
        <w:gridCol w:w="372"/>
        <w:gridCol w:w="689"/>
        <w:gridCol w:w="746"/>
        <w:gridCol w:w="895"/>
        <w:gridCol w:w="1425"/>
      </w:tblGrid>
      <w:tr>
        <w:trPr/>
        <w:tc>
          <w:tcPr>
            <w:tcW w:type="dxa" w:w="473"/>
            <w:vAlign w:val="top"/>
            <w:tcBorders>
              <w:top w:val="nil"/>
              <w:left w:val="nil"/>
              <w:bottom w:val="nil"/>
              <w:right w:val="nil"/>
            </w:tcBorders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b w:val="1"/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</w:p>
        </w:tc>
        <w:tc>
          <w:tcPr>
            <w:tcW w:type="dxa" w:w="1487"/>
            <w:vAlign w:val="top"/>
            <w:tcBorders>
              <w:top w:val="nil"/>
              <w:left w:val="nil"/>
              <w:right w:val="nil"/>
            </w:tcBorders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b w:val="1"/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</w:p>
        </w:tc>
        <w:tc>
          <w:tcPr>
            <w:tcW w:type="dxa" w:w="890"/>
            <w:vAlign w:val="top"/>
            <w:tcBorders>
              <w:top w:val="nil"/>
              <w:left w:val="nil"/>
            </w:tcBorders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</w:p>
        </w:tc>
        <w:tc>
          <w:tcPr>
            <w:tcW w:type="dxa" w:w="4268"/>
            <w:vAlign w:val="top"/>
            <w:gridSpan w:val="4"/>
          </w:tcPr>
          <w:p>
            <w:pPr>
              <w:numPr>
                <w:ilvl w:val="0"/>
                <w:numId w:val="0"/>
              </w:numPr>
              <w:jc w:val="center"/>
              <w:spacing w:lineRule="auto" w:line="360" w:before="0" w:after="0"/>
              <w:ind w:right="0" w:firstLine="0"/>
              <w:rPr>
                <w:b w:val="1"/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b w:val="1"/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RADIATION</w:t>
            </w:r>
          </w:p>
        </w:tc>
        <w:tc>
          <w:tcPr>
            <w:tcW w:type="dxa" w:w="1061"/>
            <w:vAlign w:val="top"/>
            <w:gridSpan w:val="2"/>
            <w:tcBorders>
              <w:top w:val="nil"/>
              <w:right w:val="nil"/>
            </w:tcBorders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</w:p>
        </w:tc>
        <w:tc>
          <w:tcPr>
            <w:tcW w:type="dxa" w:w="746"/>
            <w:vAlign w:val="top"/>
            <w:tcBorders>
              <w:top w:val="nil"/>
              <w:left w:val="nil"/>
              <w:right w:val="nil"/>
            </w:tcBorders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</w:p>
        </w:tc>
        <w:tc>
          <w:tcPr>
            <w:tcW w:type="dxa" w:w="2320"/>
            <w:vAlign w:val="top"/>
            <w:gridSpan w:val="2"/>
            <w:tcBorders>
              <w:top w:val="nil"/>
              <w:left w:val="nil"/>
              <w:right w:val="nil"/>
            </w:tcBorders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</w:p>
        </w:tc>
      </w:tr>
      <w:tr>
        <w:trPr/>
        <w:tc>
          <w:tcPr>
            <w:tcW w:type="dxa" w:w="473"/>
            <w:vAlign w:val="top"/>
            <w:tcBorders>
              <w:top w:val="nil"/>
              <w:left w:val="nil"/>
              <w:bottom w:val="nil"/>
            </w:tcBorders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b w:val="1"/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</w:p>
        </w:tc>
        <w:tc>
          <w:tcPr>
            <w:tcW w:type="dxa" w:w="1487"/>
            <w:vAlign w:val="top"/>
            <w:vMerge w:val="restart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b w:val="1"/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 xml:space="preserve">Blood Film </w:t>
            </w:r>
            <w:r>
              <w:rPr>
                <w:b w:val="1"/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Picture</w:t>
            </w:r>
          </w:p>
        </w:tc>
        <w:tc>
          <w:tcPr>
            <w:tcW w:type="dxa" w:w="9285"/>
            <w:vAlign w:val="top"/>
            <w:gridSpan w:val="10"/>
          </w:tcPr>
          <w:p>
            <w:pPr>
              <w:numPr>
                <w:ilvl w:val="0"/>
                <w:numId w:val="0"/>
              </w:numPr>
              <w:jc w:val="center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b w:val="1"/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 xml:space="preserve">Treatment Duration (Radiation Alone)</w:t>
            </w:r>
          </w:p>
        </w:tc>
      </w:tr>
      <w:tr>
        <w:trPr/>
        <w:tc>
          <w:tcPr>
            <w:tcW w:type="dxa" w:w="473"/>
            <w:vAlign w:val="top"/>
            <w:tcBorders>
              <w:top w:val="nil"/>
              <w:left w:val="nil"/>
            </w:tcBorders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</w:p>
        </w:tc>
        <w:tc>
          <w:tcPr>
            <w:tcW w:type="dxa" w:w="1487"/>
            <w:vAlign w:val="top"/>
            <w:vMerge/>
          </w:tcPr>
          <w:p/>
        </w:tc>
        <w:tc>
          <w:tcPr>
            <w:tcW w:type="dxa" w:w="890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b w:val="1"/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b w:val="1"/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 xml:space="preserve">Week 0</w:t>
            </w:r>
          </w:p>
        </w:tc>
        <w:tc>
          <w:tcPr>
            <w:tcW w:type="dxa" w:w="142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b w:val="1"/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b w:val="1"/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 xml:space="preserve">% of Patients</w:t>
            </w:r>
          </w:p>
        </w:tc>
        <w:tc>
          <w:tcPr>
            <w:tcW w:type="dxa" w:w="89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b w:val="1"/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b w:val="1"/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 xml:space="preserve">Week 2</w:t>
            </w:r>
          </w:p>
        </w:tc>
        <w:tc>
          <w:tcPr>
            <w:tcW w:type="dxa" w:w="142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b w:val="1"/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 xml:space="preserve">% of Patients</w:t>
            </w:r>
          </w:p>
        </w:tc>
        <w:tc>
          <w:tcPr>
            <w:tcW w:type="dxa" w:w="895"/>
            <w:vAlign w:val="top"/>
            <w:gridSpan w:val="2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b w:val="1"/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b w:val="1"/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 xml:space="preserve">Week 4</w:t>
            </w:r>
          </w:p>
        </w:tc>
        <w:tc>
          <w:tcPr>
            <w:tcW w:type="dxa" w:w="1435"/>
            <w:vAlign w:val="top"/>
            <w:gridSpan w:val="2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b w:val="1"/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 xml:space="preserve">% of Patients</w:t>
            </w:r>
          </w:p>
        </w:tc>
        <w:tc>
          <w:tcPr>
            <w:tcW w:type="dxa" w:w="89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b w:val="1"/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 xml:space="preserve">Week 6</w:t>
            </w:r>
          </w:p>
        </w:tc>
        <w:tc>
          <w:tcPr>
            <w:tcW w:type="dxa" w:w="142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b w:val="1"/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 xml:space="preserve">% of Patients</w:t>
            </w:r>
          </w:p>
        </w:tc>
      </w:tr>
      <w:tr>
        <w:trPr/>
        <w:tc>
          <w:tcPr>
            <w:tcW w:type="dxa" w:w="473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1.</w:t>
            </w:r>
          </w:p>
        </w:tc>
        <w:tc>
          <w:tcPr>
            <w:tcW w:type="dxa" w:w="1487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 xml:space="preserve">Normocytic </w:t>
            </w: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Normochromic</w:t>
            </w:r>
          </w:p>
        </w:tc>
        <w:tc>
          <w:tcPr>
            <w:tcW w:type="dxa" w:w="890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48</w:t>
            </w:r>
          </w:p>
        </w:tc>
        <w:tc>
          <w:tcPr>
            <w:tcW w:type="dxa" w:w="142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76.2</w:t>
            </w:r>
          </w:p>
        </w:tc>
        <w:tc>
          <w:tcPr>
            <w:tcW w:type="dxa" w:w="89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42</w:t>
            </w:r>
          </w:p>
        </w:tc>
        <w:tc>
          <w:tcPr>
            <w:tcW w:type="dxa" w:w="142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66.7</w:t>
            </w:r>
          </w:p>
        </w:tc>
        <w:tc>
          <w:tcPr>
            <w:tcW w:type="dxa" w:w="895"/>
            <w:vAlign w:val="top"/>
            <w:gridSpan w:val="2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36</w:t>
            </w:r>
          </w:p>
        </w:tc>
        <w:tc>
          <w:tcPr>
            <w:tcW w:type="dxa" w:w="1435"/>
            <w:vAlign w:val="top"/>
            <w:gridSpan w:val="2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57.1</w:t>
            </w:r>
          </w:p>
        </w:tc>
        <w:tc>
          <w:tcPr>
            <w:tcW w:type="dxa" w:w="89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36</w:t>
            </w:r>
          </w:p>
        </w:tc>
        <w:tc>
          <w:tcPr>
            <w:tcW w:type="dxa" w:w="142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57.1</w:t>
            </w:r>
          </w:p>
        </w:tc>
      </w:tr>
      <w:tr>
        <w:trPr/>
        <w:tc>
          <w:tcPr>
            <w:tcW w:type="dxa" w:w="473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2.</w:t>
            </w:r>
          </w:p>
        </w:tc>
        <w:tc>
          <w:tcPr>
            <w:tcW w:type="dxa" w:w="1487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Hypochromic</w:t>
            </w:r>
          </w:p>
        </w:tc>
        <w:tc>
          <w:tcPr>
            <w:tcW w:type="dxa" w:w="890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6</w:t>
            </w:r>
          </w:p>
        </w:tc>
        <w:tc>
          <w:tcPr>
            <w:tcW w:type="dxa" w:w="142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9.5</w:t>
            </w:r>
          </w:p>
        </w:tc>
        <w:tc>
          <w:tcPr>
            <w:tcW w:type="dxa" w:w="89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11</w:t>
            </w:r>
          </w:p>
        </w:tc>
        <w:tc>
          <w:tcPr>
            <w:tcW w:type="dxa" w:w="142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17.5</w:t>
            </w:r>
          </w:p>
        </w:tc>
        <w:tc>
          <w:tcPr>
            <w:tcW w:type="dxa" w:w="895"/>
            <w:vAlign w:val="top"/>
            <w:gridSpan w:val="2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16</w:t>
            </w:r>
          </w:p>
        </w:tc>
        <w:tc>
          <w:tcPr>
            <w:tcW w:type="dxa" w:w="1435"/>
            <w:vAlign w:val="top"/>
            <w:gridSpan w:val="2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25.4</w:t>
            </w:r>
          </w:p>
        </w:tc>
        <w:tc>
          <w:tcPr>
            <w:tcW w:type="dxa" w:w="89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17</w:t>
            </w:r>
          </w:p>
        </w:tc>
        <w:tc>
          <w:tcPr>
            <w:tcW w:type="dxa" w:w="142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27.0</w:t>
            </w:r>
          </w:p>
        </w:tc>
      </w:tr>
      <w:tr>
        <w:trPr/>
        <w:tc>
          <w:tcPr>
            <w:tcW w:type="dxa" w:w="473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3.</w:t>
            </w:r>
          </w:p>
        </w:tc>
        <w:tc>
          <w:tcPr>
            <w:tcW w:type="dxa" w:w="1487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Macrocytosis</w:t>
            </w:r>
          </w:p>
        </w:tc>
        <w:tc>
          <w:tcPr>
            <w:tcW w:type="dxa" w:w="890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2</w:t>
            </w:r>
          </w:p>
        </w:tc>
        <w:tc>
          <w:tcPr>
            <w:tcW w:type="dxa" w:w="142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3.2</w:t>
            </w:r>
          </w:p>
        </w:tc>
        <w:tc>
          <w:tcPr>
            <w:tcW w:type="dxa" w:w="89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-</w:t>
            </w:r>
          </w:p>
        </w:tc>
        <w:tc>
          <w:tcPr>
            <w:tcW w:type="dxa" w:w="142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-</w:t>
            </w:r>
          </w:p>
        </w:tc>
        <w:tc>
          <w:tcPr>
            <w:tcW w:type="dxa" w:w="895"/>
            <w:vAlign w:val="top"/>
            <w:gridSpan w:val="2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2</w:t>
            </w:r>
          </w:p>
        </w:tc>
        <w:tc>
          <w:tcPr>
            <w:tcW w:type="dxa" w:w="1435"/>
            <w:vAlign w:val="top"/>
            <w:gridSpan w:val="2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3.2</w:t>
            </w:r>
          </w:p>
        </w:tc>
        <w:tc>
          <w:tcPr>
            <w:tcW w:type="dxa" w:w="89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-</w:t>
            </w:r>
          </w:p>
        </w:tc>
        <w:tc>
          <w:tcPr>
            <w:tcW w:type="dxa" w:w="142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-</w:t>
            </w:r>
          </w:p>
        </w:tc>
      </w:tr>
      <w:tr>
        <w:trPr/>
        <w:tc>
          <w:tcPr>
            <w:tcW w:type="dxa" w:w="473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4.</w:t>
            </w:r>
          </w:p>
        </w:tc>
        <w:tc>
          <w:tcPr>
            <w:tcW w:type="dxa" w:w="1487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Microcytosis</w:t>
            </w:r>
          </w:p>
        </w:tc>
        <w:tc>
          <w:tcPr>
            <w:tcW w:type="dxa" w:w="890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2</w:t>
            </w:r>
          </w:p>
        </w:tc>
        <w:tc>
          <w:tcPr>
            <w:tcW w:type="dxa" w:w="142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3.2</w:t>
            </w:r>
          </w:p>
        </w:tc>
        <w:tc>
          <w:tcPr>
            <w:tcW w:type="dxa" w:w="89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-</w:t>
            </w:r>
          </w:p>
        </w:tc>
        <w:tc>
          <w:tcPr>
            <w:tcW w:type="dxa" w:w="142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-</w:t>
            </w:r>
          </w:p>
        </w:tc>
        <w:tc>
          <w:tcPr>
            <w:tcW w:type="dxa" w:w="895"/>
            <w:vAlign w:val="top"/>
            <w:gridSpan w:val="2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-</w:t>
            </w:r>
          </w:p>
        </w:tc>
        <w:tc>
          <w:tcPr>
            <w:tcW w:type="dxa" w:w="1435"/>
            <w:vAlign w:val="top"/>
            <w:gridSpan w:val="2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-</w:t>
            </w:r>
          </w:p>
        </w:tc>
        <w:tc>
          <w:tcPr>
            <w:tcW w:type="dxa" w:w="89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-</w:t>
            </w:r>
          </w:p>
        </w:tc>
        <w:tc>
          <w:tcPr>
            <w:tcW w:type="dxa" w:w="142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-</w:t>
            </w:r>
          </w:p>
        </w:tc>
      </w:tr>
      <w:tr>
        <w:trPr/>
        <w:tc>
          <w:tcPr>
            <w:tcW w:type="dxa" w:w="473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5.</w:t>
            </w:r>
          </w:p>
        </w:tc>
        <w:tc>
          <w:tcPr>
            <w:tcW w:type="dxa" w:w="1487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Poikliocytosis</w:t>
            </w:r>
          </w:p>
        </w:tc>
        <w:tc>
          <w:tcPr>
            <w:tcW w:type="dxa" w:w="890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1</w:t>
            </w:r>
          </w:p>
        </w:tc>
        <w:tc>
          <w:tcPr>
            <w:tcW w:type="dxa" w:w="142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1.6</w:t>
            </w:r>
          </w:p>
        </w:tc>
        <w:tc>
          <w:tcPr>
            <w:tcW w:type="dxa" w:w="89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2</w:t>
            </w:r>
          </w:p>
        </w:tc>
        <w:tc>
          <w:tcPr>
            <w:tcW w:type="dxa" w:w="142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3.2</w:t>
            </w:r>
          </w:p>
        </w:tc>
        <w:tc>
          <w:tcPr>
            <w:tcW w:type="dxa" w:w="895"/>
            <w:vAlign w:val="top"/>
            <w:gridSpan w:val="2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-</w:t>
            </w:r>
          </w:p>
        </w:tc>
        <w:tc>
          <w:tcPr>
            <w:tcW w:type="dxa" w:w="1435"/>
            <w:vAlign w:val="top"/>
            <w:gridSpan w:val="2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-</w:t>
            </w:r>
          </w:p>
        </w:tc>
        <w:tc>
          <w:tcPr>
            <w:tcW w:type="dxa" w:w="89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-</w:t>
            </w:r>
          </w:p>
        </w:tc>
        <w:tc>
          <w:tcPr>
            <w:tcW w:type="dxa" w:w="142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-</w:t>
            </w:r>
          </w:p>
        </w:tc>
      </w:tr>
      <w:tr>
        <w:trPr/>
        <w:tc>
          <w:tcPr>
            <w:tcW w:type="dxa" w:w="473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6.</w:t>
            </w:r>
          </w:p>
        </w:tc>
        <w:tc>
          <w:tcPr>
            <w:tcW w:type="dxa" w:w="1487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Anisocytosis</w:t>
            </w:r>
          </w:p>
        </w:tc>
        <w:tc>
          <w:tcPr>
            <w:tcW w:type="dxa" w:w="890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1</w:t>
            </w:r>
          </w:p>
        </w:tc>
        <w:tc>
          <w:tcPr>
            <w:tcW w:type="dxa" w:w="142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1.6</w:t>
            </w:r>
          </w:p>
        </w:tc>
        <w:tc>
          <w:tcPr>
            <w:tcW w:type="dxa" w:w="89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2</w:t>
            </w:r>
          </w:p>
        </w:tc>
        <w:tc>
          <w:tcPr>
            <w:tcW w:type="dxa" w:w="142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3.2</w:t>
            </w:r>
          </w:p>
        </w:tc>
        <w:tc>
          <w:tcPr>
            <w:tcW w:type="dxa" w:w="895"/>
            <w:vAlign w:val="top"/>
            <w:gridSpan w:val="2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5</w:t>
            </w:r>
          </w:p>
        </w:tc>
        <w:tc>
          <w:tcPr>
            <w:tcW w:type="dxa" w:w="1435"/>
            <w:vAlign w:val="top"/>
            <w:gridSpan w:val="2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7.9</w:t>
            </w:r>
          </w:p>
        </w:tc>
        <w:tc>
          <w:tcPr>
            <w:tcW w:type="dxa" w:w="89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2</w:t>
            </w:r>
          </w:p>
        </w:tc>
        <w:tc>
          <w:tcPr>
            <w:tcW w:type="dxa" w:w="142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3.2</w:t>
            </w:r>
          </w:p>
        </w:tc>
      </w:tr>
      <w:tr>
        <w:trPr/>
        <w:tc>
          <w:tcPr>
            <w:tcW w:type="dxa" w:w="473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7.</w:t>
            </w:r>
          </w:p>
        </w:tc>
        <w:tc>
          <w:tcPr>
            <w:tcW w:type="dxa" w:w="1487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Elliptocytosis</w:t>
            </w:r>
          </w:p>
        </w:tc>
        <w:tc>
          <w:tcPr>
            <w:tcW w:type="dxa" w:w="890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1</w:t>
            </w:r>
          </w:p>
        </w:tc>
        <w:tc>
          <w:tcPr>
            <w:tcW w:type="dxa" w:w="142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1.6</w:t>
            </w:r>
          </w:p>
        </w:tc>
        <w:tc>
          <w:tcPr>
            <w:tcW w:type="dxa" w:w="89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1</w:t>
            </w:r>
          </w:p>
        </w:tc>
        <w:tc>
          <w:tcPr>
            <w:tcW w:type="dxa" w:w="142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1.6</w:t>
            </w:r>
          </w:p>
        </w:tc>
        <w:tc>
          <w:tcPr>
            <w:tcW w:type="dxa" w:w="895"/>
            <w:vAlign w:val="top"/>
            <w:gridSpan w:val="2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1</w:t>
            </w:r>
          </w:p>
        </w:tc>
        <w:tc>
          <w:tcPr>
            <w:tcW w:type="dxa" w:w="1435"/>
            <w:vAlign w:val="top"/>
            <w:gridSpan w:val="2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1.6</w:t>
            </w:r>
          </w:p>
        </w:tc>
        <w:tc>
          <w:tcPr>
            <w:tcW w:type="dxa" w:w="89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4</w:t>
            </w:r>
          </w:p>
        </w:tc>
        <w:tc>
          <w:tcPr>
            <w:tcW w:type="dxa" w:w="142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6.3</w:t>
            </w:r>
          </w:p>
        </w:tc>
      </w:tr>
      <w:tr>
        <w:trPr/>
        <w:tc>
          <w:tcPr>
            <w:tcW w:type="dxa" w:w="473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8.</w:t>
            </w:r>
          </w:p>
        </w:tc>
        <w:tc>
          <w:tcPr>
            <w:tcW w:type="dxa" w:w="1487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 xml:space="preserve">Dimorphic </w:t>
            </w: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Picture</w:t>
            </w:r>
          </w:p>
        </w:tc>
        <w:tc>
          <w:tcPr>
            <w:tcW w:type="dxa" w:w="890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2</w:t>
            </w:r>
          </w:p>
        </w:tc>
        <w:tc>
          <w:tcPr>
            <w:tcW w:type="dxa" w:w="142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3.2</w:t>
            </w:r>
          </w:p>
        </w:tc>
        <w:tc>
          <w:tcPr>
            <w:tcW w:type="dxa" w:w="89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5</w:t>
            </w:r>
          </w:p>
        </w:tc>
        <w:tc>
          <w:tcPr>
            <w:tcW w:type="dxa" w:w="142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7.9</w:t>
            </w:r>
          </w:p>
        </w:tc>
        <w:tc>
          <w:tcPr>
            <w:tcW w:type="dxa" w:w="895"/>
            <w:vAlign w:val="top"/>
            <w:gridSpan w:val="2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3</w:t>
            </w:r>
          </w:p>
        </w:tc>
        <w:tc>
          <w:tcPr>
            <w:tcW w:type="dxa" w:w="1435"/>
            <w:vAlign w:val="top"/>
            <w:gridSpan w:val="2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4.8</w:t>
            </w:r>
          </w:p>
        </w:tc>
        <w:tc>
          <w:tcPr>
            <w:tcW w:type="dxa" w:w="89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4</w:t>
            </w:r>
          </w:p>
        </w:tc>
        <w:tc>
          <w:tcPr>
            <w:tcW w:type="dxa" w:w="142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6.4</w:t>
            </w:r>
          </w:p>
        </w:tc>
      </w:tr>
      <w:tr>
        <w:trPr/>
        <w:tc>
          <w:tcPr>
            <w:tcW w:type="dxa" w:w="473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9.</w:t>
            </w:r>
          </w:p>
        </w:tc>
        <w:tc>
          <w:tcPr>
            <w:tcW w:type="dxa" w:w="1487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 xml:space="preserve">Target Cells</w:t>
            </w:r>
          </w:p>
        </w:tc>
        <w:tc>
          <w:tcPr>
            <w:tcW w:type="dxa" w:w="890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-</w:t>
            </w:r>
          </w:p>
        </w:tc>
        <w:tc>
          <w:tcPr>
            <w:tcW w:type="dxa" w:w="142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-</w:t>
            </w:r>
          </w:p>
        </w:tc>
        <w:tc>
          <w:tcPr>
            <w:tcW w:type="dxa" w:w="89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-</w:t>
            </w:r>
          </w:p>
        </w:tc>
        <w:tc>
          <w:tcPr>
            <w:tcW w:type="dxa" w:w="142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-</w:t>
            </w:r>
          </w:p>
        </w:tc>
        <w:tc>
          <w:tcPr>
            <w:tcW w:type="dxa" w:w="895"/>
            <w:vAlign w:val="top"/>
            <w:gridSpan w:val="2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-</w:t>
            </w:r>
          </w:p>
        </w:tc>
        <w:tc>
          <w:tcPr>
            <w:tcW w:type="dxa" w:w="1435"/>
            <w:vAlign w:val="top"/>
            <w:gridSpan w:val="2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-</w:t>
            </w:r>
          </w:p>
        </w:tc>
        <w:tc>
          <w:tcPr>
            <w:tcW w:type="dxa" w:w="89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-</w:t>
            </w:r>
          </w:p>
        </w:tc>
        <w:tc>
          <w:tcPr>
            <w:tcW w:type="dxa" w:w="142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-</w:t>
            </w:r>
          </w:p>
        </w:tc>
      </w:tr>
      <w:tr>
        <w:trPr/>
        <w:tc>
          <w:tcPr>
            <w:tcW w:type="dxa" w:w="473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10.</w:t>
            </w:r>
          </w:p>
        </w:tc>
        <w:tc>
          <w:tcPr>
            <w:tcW w:type="dxa" w:w="1487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 xml:space="preserve">Blast cells</w:t>
            </w:r>
          </w:p>
        </w:tc>
        <w:tc>
          <w:tcPr>
            <w:tcW w:type="dxa" w:w="890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-</w:t>
            </w:r>
          </w:p>
        </w:tc>
        <w:tc>
          <w:tcPr>
            <w:tcW w:type="dxa" w:w="142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-</w:t>
            </w:r>
          </w:p>
        </w:tc>
        <w:tc>
          <w:tcPr>
            <w:tcW w:type="dxa" w:w="89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-</w:t>
            </w:r>
          </w:p>
        </w:tc>
        <w:tc>
          <w:tcPr>
            <w:tcW w:type="dxa" w:w="142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-</w:t>
            </w:r>
          </w:p>
        </w:tc>
        <w:tc>
          <w:tcPr>
            <w:tcW w:type="dxa" w:w="895"/>
            <w:vAlign w:val="top"/>
            <w:gridSpan w:val="2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-</w:t>
            </w:r>
          </w:p>
        </w:tc>
        <w:tc>
          <w:tcPr>
            <w:tcW w:type="dxa" w:w="1435"/>
            <w:vAlign w:val="top"/>
            <w:gridSpan w:val="2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-</w:t>
            </w:r>
          </w:p>
        </w:tc>
        <w:tc>
          <w:tcPr>
            <w:tcW w:type="dxa" w:w="89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-</w:t>
            </w:r>
          </w:p>
        </w:tc>
        <w:tc>
          <w:tcPr>
            <w:tcW w:type="dxa" w:w="142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0"/>
                <w:szCs w:val="20"/>
                <w:rFonts w:ascii="Times New Roman" w:eastAsia="Times New Roman" w:hAnsi="Times New Roman" w:hint="default"/>
              </w:rPr>
              <w:t>-</w:t>
            </w:r>
          </w:p>
        </w:tc>
      </w:tr>
    </w:tbl>
    <w:p>
      <w:pPr/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right="0" w:firstLine="720"/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right="0" w:firstLine="720"/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  <w:t xml:space="preserve">Table 6: Percentage Distribution of Hb by prevalence group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Table 6 showed the percentage distribution of Hb level in the prevalence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group. 360 cancer patients with histopathologically confirmed malignancy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(solid cancers) whose case were strictly diagnosed in National Hospital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Abuja were evaluated to establish prevalence of anaemia in cancer patients.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12"/>
          <w:szCs w:val="12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The table showed that 41.7% of 360 cancer patients who presented at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Radiation Oncology clinic as a fresh case at the time had Hb level above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12g/dl (12</w:t>
      </w:r>
      <w:r>
        <w:rPr>
          <w:vertAlign w:val="superscript"/>
          <w:position w:val="0"/>
          <w:sz w:val="28"/>
          <w:szCs w:val="28"/>
          <w:rFonts w:ascii="Times New Roman" w:eastAsia="Times New Roman" w:hAnsi="Times New Roman" w:hint="default"/>
        </w:rPr>
        <w:t>+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) while 49.3% had haemoglobin level less than 12g/dl.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tbl>
      <w:tblPr>
        <w:tblStyle w:val="PO37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8" w:type="dxa"/>
          <w:top w:w="0" w:type="dxa"/>
          <w:right w:w="108" w:type="dxa"/>
          <w:bottom w:w="0" w:type="dxa"/>
        </w:tblCellMar>
        <w:tblW w:w="0" w:type="auto"/>
        <w:tblInd w:w="1368" w:type="dxa"/>
        <w:tblLook w:val="0004A0" w:firstRow="1" w:lastRow="0" w:firstColumn="1" w:lastColumn="0" w:noHBand="0" w:noVBand="1"/>
        <w:tblLayout w:type="fixed"/>
      </w:tblPr>
      <w:tblGrid>
        <w:gridCol w:w="2304"/>
        <w:gridCol w:w="2196"/>
        <w:gridCol w:w="2070"/>
      </w:tblGrid>
      <w:tr>
        <w:trPr/>
        <w:tc>
          <w:tcPr>
            <w:tcW w:type="dxa" w:w="2304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b w:val="1"/>
                <w:position w:val="0"/>
                <w:sz w:val="28"/>
                <w:szCs w:val="28"/>
                <w:rFonts w:ascii="Times New Roman" w:eastAsia="Times New Roman" w:hAnsi="Times New Roman" w:hint="default"/>
              </w:rPr>
            </w:pPr>
            <w:r>
              <w:rPr>
                <w:b w:val="1"/>
                <w:position w:val="0"/>
                <w:sz w:val="28"/>
                <w:szCs w:val="28"/>
                <w:rFonts w:ascii="Times New Roman" w:eastAsia="Times New Roman" w:hAnsi="Times New Roman" w:hint="default"/>
              </w:rPr>
              <w:t>Hbg/dl</w:t>
            </w:r>
          </w:p>
        </w:tc>
        <w:tc>
          <w:tcPr>
            <w:tcW w:type="dxa" w:w="2196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b w:val="1"/>
                <w:position w:val="0"/>
                <w:sz w:val="28"/>
                <w:szCs w:val="28"/>
                <w:rFonts w:ascii="Times New Roman" w:eastAsia="Times New Roman" w:hAnsi="Times New Roman" w:hint="default"/>
              </w:rPr>
            </w:pPr>
            <w:r>
              <w:rPr>
                <w:b w:val="1"/>
                <w:position w:val="0"/>
                <w:sz w:val="28"/>
                <w:szCs w:val="28"/>
                <w:rFonts w:ascii="Times New Roman" w:eastAsia="Times New Roman" w:hAnsi="Times New Roman" w:hint="default"/>
              </w:rPr>
              <w:t>Number</w:t>
            </w:r>
          </w:p>
        </w:tc>
        <w:tc>
          <w:tcPr>
            <w:tcW w:type="dxa" w:w="2070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b w:val="1"/>
                <w:position w:val="0"/>
                <w:sz w:val="28"/>
                <w:szCs w:val="28"/>
                <w:rFonts w:ascii="Times New Roman" w:eastAsia="Times New Roman" w:hAnsi="Times New Roman" w:hint="default"/>
              </w:rPr>
            </w:pPr>
            <w:r>
              <w:rPr>
                <w:b w:val="1"/>
                <w:position w:val="0"/>
                <w:sz w:val="28"/>
                <w:szCs w:val="28"/>
                <w:rFonts w:ascii="Times New Roman" w:eastAsia="Times New Roman" w:hAnsi="Times New Roman" w:hint="default"/>
              </w:rPr>
              <w:t>%</w:t>
            </w:r>
          </w:p>
        </w:tc>
      </w:tr>
      <w:tr>
        <w:trPr/>
        <w:tc>
          <w:tcPr>
            <w:tcW w:type="dxa" w:w="2304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  <w:t>&lt;10</w:t>
            </w:r>
          </w:p>
        </w:tc>
        <w:tc>
          <w:tcPr>
            <w:tcW w:type="dxa" w:w="2196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  <w:t>40</w:t>
            </w:r>
          </w:p>
        </w:tc>
        <w:tc>
          <w:tcPr>
            <w:tcW w:type="dxa" w:w="2070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  <w:t>11.1</w:t>
            </w:r>
          </w:p>
        </w:tc>
      </w:tr>
      <w:tr>
        <w:trPr/>
        <w:tc>
          <w:tcPr>
            <w:tcW w:type="dxa" w:w="2304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  <w:t xml:space="preserve">10 – 10.9</w:t>
            </w:r>
          </w:p>
        </w:tc>
        <w:tc>
          <w:tcPr>
            <w:tcW w:type="dxa" w:w="2196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  <w:t>37</w:t>
            </w:r>
          </w:p>
        </w:tc>
        <w:tc>
          <w:tcPr>
            <w:tcW w:type="dxa" w:w="2070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  <w:t>10.3</w:t>
            </w:r>
          </w:p>
        </w:tc>
      </w:tr>
      <w:tr>
        <w:trPr/>
        <w:tc>
          <w:tcPr>
            <w:tcW w:type="dxa" w:w="2304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  <w:t xml:space="preserve">11 – 12</w:t>
            </w:r>
          </w:p>
        </w:tc>
        <w:tc>
          <w:tcPr>
            <w:tcW w:type="dxa" w:w="2196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  <w:t>133</w:t>
            </w:r>
          </w:p>
        </w:tc>
        <w:tc>
          <w:tcPr>
            <w:tcW w:type="dxa" w:w="2070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  <w:t>36.9</w:t>
            </w:r>
          </w:p>
        </w:tc>
      </w:tr>
      <w:tr>
        <w:trPr/>
        <w:tc>
          <w:tcPr>
            <w:tcW w:type="dxa" w:w="2304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  <w:t>12+</w:t>
            </w:r>
          </w:p>
        </w:tc>
        <w:tc>
          <w:tcPr>
            <w:tcW w:type="dxa" w:w="2196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  <w:t>150</w:t>
            </w:r>
          </w:p>
        </w:tc>
        <w:tc>
          <w:tcPr>
            <w:tcW w:type="dxa" w:w="2070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  <w:t>41.7</w:t>
            </w:r>
          </w:p>
        </w:tc>
      </w:tr>
      <w:tr>
        <w:trPr/>
        <w:tc>
          <w:tcPr>
            <w:tcW w:type="dxa" w:w="2304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  <w:t>Total</w:t>
            </w:r>
          </w:p>
        </w:tc>
        <w:tc>
          <w:tcPr>
            <w:tcW w:type="dxa" w:w="2196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  <w:t>360</w:t>
            </w:r>
          </w:p>
        </w:tc>
        <w:tc>
          <w:tcPr>
            <w:tcW w:type="dxa" w:w="2070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40" w:before="0" w:after="0"/>
              <w:ind w:right="0" w:firstLine="0"/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  <w:t>100</w:t>
            </w:r>
          </w:p>
        </w:tc>
      </w:tr>
    </w:tbl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  <w:t xml:space="preserve">Table 7: Prevalence Study Group distribution of mean Hb, Standard </w:t>
      </w:r>
      <w:r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  <w:t xml:space="preserve">Deviation and Confidence interval by Sex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Table 7 showed results of evaluation of the prevalence group distribution of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mean Hb, standard deviation and confidence interval by sex. From the table,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at 95% confidence interval, the mean Hb level and standard deviation for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male cancer patients at presentation in the clinic was 11.68g/dl (2.054) and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female 11.15g/dl (1.815). Male Hb value was greater than female but this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was not statistically significant.</w:t>
      </w:r>
    </w:p>
    <w:p>
      <w:pPr>
        <w:numPr>
          <w:ilvl w:val="0"/>
          <w:numId w:val="0"/>
        </w:numPr>
        <w:jc w:val="both"/>
        <w:spacing w:lineRule="auto" w:line="360" w:before="0" w:after="0"/>
        <w:ind w:right="0" w:firstLine="0"/>
        <w:rPr>
          <w:position w:val="0"/>
          <w:sz w:val="14"/>
          <w:szCs w:val="14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ab/>
      </w:r>
    </w:p>
    <w:tbl>
      <w:tblPr>
        <w:tblStyle w:val="PO37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8" w:type="dxa"/>
          <w:top w:w="0" w:type="dxa"/>
          <w:right w:w="108" w:type="dxa"/>
          <w:bottom w:w="0" w:type="dxa"/>
        </w:tblCellMar>
        <w:tblW w:w="0" w:type="auto"/>
        <w:tblInd w:w="828" w:type="dxa"/>
        <w:tblLook w:val="0004A0" w:firstRow="1" w:lastRow="0" w:firstColumn="1" w:lastColumn="0" w:noHBand="0" w:noVBand="1"/>
        <w:tblLayout w:type="fixed"/>
      </w:tblPr>
      <w:tblGrid>
        <w:gridCol w:w="1350"/>
        <w:gridCol w:w="1080"/>
        <w:gridCol w:w="1350"/>
        <w:gridCol w:w="1800"/>
      </w:tblGrid>
      <w:tr>
        <w:trPr/>
        <w:tc>
          <w:tcPr>
            <w:tcW w:type="dxa" w:w="1350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76" w:before="0" w:after="0"/>
              <w:ind w:right="0" w:firstLine="0"/>
              <w:rPr>
                <w:b w:val="1"/>
                <w:position w:val="0"/>
                <w:sz w:val="28"/>
                <w:szCs w:val="28"/>
                <w:rFonts w:ascii="Times New Roman" w:eastAsia="Times New Roman" w:hAnsi="Times New Roman" w:hint="default"/>
              </w:rPr>
            </w:pPr>
            <w:r>
              <w:rPr>
                <w:b w:val="1"/>
                <w:position w:val="0"/>
                <w:sz w:val="28"/>
                <w:szCs w:val="28"/>
                <w:rFonts w:ascii="Times New Roman" w:eastAsia="Times New Roman" w:hAnsi="Times New Roman" w:hint="default"/>
              </w:rPr>
              <w:t>Sex</w:t>
            </w:r>
          </w:p>
        </w:tc>
        <w:tc>
          <w:tcPr>
            <w:tcW w:type="dxa" w:w="1080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76" w:before="0" w:after="0"/>
              <w:ind w:right="0" w:firstLine="0"/>
              <w:rPr>
                <w:b w:val="1"/>
                <w:position w:val="0"/>
                <w:sz w:val="28"/>
                <w:szCs w:val="28"/>
                <w:rFonts w:ascii="Times New Roman" w:eastAsia="Times New Roman" w:hAnsi="Times New Roman" w:hint="default"/>
              </w:rPr>
            </w:pPr>
            <w:r>
              <w:rPr>
                <w:b w:val="1"/>
                <w:position w:val="0"/>
                <w:sz w:val="28"/>
                <w:szCs w:val="28"/>
                <w:rFonts w:ascii="Times New Roman" w:eastAsia="Times New Roman" w:hAnsi="Times New Roman" w:hint="default"/>
              </w:rPr>
              <w:t>Mean</w:t>
            </w:r>
          </w:p>
        </w:tc>
        <w:tc>
          <w:tcPr>
            <w:tcW w:type="dxa" w:w="1350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76" w:before="0" w:after="0"/>
              <w:ind w:right="0" w:firstLine="0"/>
              <w:rPr>
                <w:b w:val="1"/>
                <w:position w:val="0"/>
                <w:sz w:val="28"/>
                <w:szCs w:val="28"/>
                <w:rFonts w:ascii="Times New Roman" w:eastAsia="Times New Roman" w:hAnsi="Times New Roman" w:hint="default"/>
              </w:rPr>
            </w:pPr>
            <w:r>
              <w:rPr>
                <w:b w:val="1"/>
                <w:position w:val="0"/>
                <w:sz w:val="28"/>
                <w:szCs w:val="28"/>
                <w:rFonts w:ascii="Times New Roman" w:eastAsia="Times New Roman" w:hAnsi="Times New Roman" w:hint="default"/>
              </w:rPr>
              <w:t xml:space="preserve">Std Dev.</w:t>
            </w:r>
          </w:p>
        </w:tc>
        <w:tc>
          <w:tcPr>
            <w:tcW w:type="dxa" w:w="1800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76" w:before="0" w:after="0"/>
              <w:ind w:right="0" w:firstLine="0"/>
              <w:rPr>
                <w:b w:val="1"/>
                <w:position w:val="0"/>
                <w:sz w:val="28"/>
                <w:szCs w:val="28"/>
                <w:rFonts w:ascii="Times New Roman" w:eastAsia="Times New Roman" w:hAnsi="Times New Roman" w:hint="default"/>
              </w:rPr>
            </w:pPr>
            <w:r>
              <w:rPr>
                <w:b w:val="1"/>
                <w:position w:val="0"/>
                <w:sz w:val="28"/>
                <w:szCs w:val="28"/>
                <w:rFonts w:ascii="Times New Roman" w:eastAsia="Times New Roman" w:hAnsi="Times New Roman" w:hint="default"/>
              </w:rPr>
              <w:t xml:space="preserve">95% C.I</w:t>
            </w:r>
          </w:p>
        </w:tc>
      </w:tr>
      <w:tr>
        <w:trPr/>
        <w:tc>
          <w:tcPr>
            <w:tcW w:type="dxa" w:w="1350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76" w:before="0" w:after="0"/>
              <w:ind w:right="0" w:firstLine="0"/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  <w:t>Male</w:t>
            </w:r>
          </w:p>
        </w:tc>
        <w:tc>
          <w:tcPr>
            <w:tcW w:type="dxa" w:w="1080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76" w:before="0" w:after="0"/>
              <w:ind w:right="0" w:firstLine="0"/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  <w:t>11.68</w:t>
            </w:r>
          </w:p>
        </w:tc>
        <w:tc>
          <w:tcPr>
            <w:tcW w:type="dxa" w:w="1350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76" w:before="0" w:after="0"/>
              <w:ind w:right="0" w:firstLine="0"/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  <w:t>2.054</w:t>
            </w:r>
          </w:p>
        </w:tc>
        <w:tc>
          <w:tcPr>
            <w:tcW w:type="dxa" w:w="1800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76" w:before="0" w:after="0"/>
              <w:ind w:right="0" w:firstLine="0"/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  <w:t xml:space="preserve">11.25- 12.10</w:t>
            </w:r>
          </w:p>
        </w:tc>
      </w:tr>
      <w:tr>
        <w:trPr/>
        <w:tc>
          <w:tcPr>
            <w:tcW w:type="dxa" w:w="1350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76" w:before="0" w:after="0"/>
              <w:ind w:right="0" w:firstLine="0"/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  <w:t>Female</w:t>
            </w:r>
          </w:p>
        </w:tc>
        <w:tc>
          <w:tcPr>
            <w:tcW w:type="dxa" w:w="1080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76" w:before="0" w:after="0"/>
              <w:ind w:right="0" w:firstLine="0"/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  <w:t>11.15</w:t>
            </w:r>
          </w:p>
        </w:tc>
        <w:tc>
          <w:tcPr>
            <w:tcW w:type="dxa" w:w="1350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76" w:before="0" w:after="0"/>
              <w:ind w:right="0" w:firstLine="0"/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  <w:t>1.815</w:t>
            </w:r>
          </w:p>
        </w:tc>
        <w:tc>
          <w:tcPr>
            <w:tcW w:type="dxa" w:w="1800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76" w:before="0" w:after="0"/>
              <w:ind w:right="0" w:firstLine="0"/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  <w:t xml:space="preserve">10.93 – 11.36</w:t>
            </w:r>
          </w:p>
        </w:tc>
      </w:tr>
    </w:tbl>
    <w:p>
      <w:pPr>
        <w:numPr>
          <w:ilvl w:val="0"/>
          <w:numId w:val="0"/>
        </w:numPr>
        <w:jc w:val="both"/>
        <w:spacing w:lineRule="auto" w:line="360" w:before="0" w:after="0"/>
        <w:ind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  <w:t xml:space="preserve">Table 8: Distribution of Mean Hb, Standard Deviation and Confidence </w:t>
      </w:r>
      <w:r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  <w:t xml:space="preserve">Interval by Type of Treatment.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Table 8 showed distribution of Mean Hb, standard deviation and confidence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interval by the type of treatment, from the table at 95% confidence interval,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Hb level was noticed at the end of therapy ie week 6 for patients on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radiotherapy to be 11.52 – 12.13g/dl.</w:t>
      </w:r>
    </w:p>
    <w:tbl>
      <w:tblPr>
        <w:tblStyle w:val="PO37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8" w:type="dxa"/>
          <w:top w:w="0" w:type="dxa"/>
          <w:right w:w="108" w:type="dxa"/>
          <w:bottom w:w="0" w:type="dxa"/>
        </w:tblCellMar>
        <w:tblW w:w="9350" w:type="dxa"/>
        <w:tblInd w:w="528" w:type="dxa"/>
        <w:tblLook w:val="0004A0" w:firstRow="1" w:lastRow="0" w:firstColumn="1" w:lastColumn="0" w:noHBand="0" w:noVBand="1"/>
        <w:tblLayout w:type="fixed"/>
      </w:tblPr>
      <w:tblGrid>
        <w:gridCol w:w="1512"/>
        <w:gridCol w:w="1363"/>
        <w:gridCol w:w="925"/>
        <w:gridCol w:w="925"/>
        <w:gridCol w:w="925"/>
        <w:gridCol w:w="925"/>
        <w:gridCol w:w="925"/>
        <w:gridCol w:w="925"/>
        <w:gridCol w:w="925"/>
      </w:tblGrid>
      <w:tr>
        <w:trPr/>
        <w:tc>
          <w:tcPr>
            <w:tcW w:type="dxa" w:w="1512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76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 xml:space="preserve">Type of </w:t>
            </w: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Treatment</w:t>
            </w:r>
          </w:p>
        </w:tc>
        <w:tc>
          <w:tcPr>
            <w:tcW w:type="dxa" w:w="4138"/>
            <w:vAlign w:val="center"/>
            <w:gridSpan w:val="4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Mean</w:t>
            </w:r>
          </w:p>
        </w:tc>
        <w:tc>
          <w:tcPr>
            <w:tcW w:type="dxa" w:w="3700"/>
            <w:vAlign w:val="center"/>
            <w:gridSpan w:val="4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 xml:space="preserve">Standard Deviation</w:t>
            </w:r>
          </w:p>
        </w:tc>
      </w:tr>
      <w:tr>
        <w:trPr/>
        <w:tc>
          <w:tcPr>
            <w:tcW w:type="dxa" w:w="1512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76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Radiotherapy</w:t>
            </w:r>
          </w:p>
        </w:tc>
        <w:tc>
          <w:tcPr>
            <w:tcW w:type="dxa" w:w="1363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76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 xml:space="preserve">Week 0</w:t>
            </w:r>
          </w:p>
        </w:tc>
        <w:tc>
          <w:tcPr>
            <w:tcW w:type="dxa" w:w="92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76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 xml:space="preserve">Week 2</w:t>
            </w:r>
          </w:p>
        </w:tc>
        <w:tc>
          <w:tcPr>
            <w:tcW w:type="dxa" w:w="92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76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 xml:space="preserve">Week 4</w:t>
            </w:r>
          </w:p>
        </w:tc>
        <w:tc>
          <w:tcPr>
            <w:tcW w:type="dxa" w:w="92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76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 xml:space="preserve">Week 6</w:t>
            </w:r>
          </w:p>
        </w:tc>
        <w:tc>
          <w:tcPr>
            <w:tcW w:type="dxa" w:w="92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76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 xml:space="preserve">Week 0</w:t>
            </w:r>
          </w:p>
        </w:tc>
        <w:tc>
          <w:tcPr>
            <w:tcW w:type="dxa" w:w="92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76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 xml:space="preserve">Week 2</w:t>
            </w:r>
          </w:p>
        </w:tc>
        <w:tc>
          <w:tcPr>
            <w:tcW w:type="dxa" w:w="92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76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 xml:space="preserve">Week 4</w:t>
            </w:r>
          </w:p>
        </w:tc>
        <w:tc>
          <w:tcPr>
            <w:tcW w:type="dxa" w:w="92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76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 xml:space="preserve">Week 6</w:t>
            </w:r>
          </w:p>
        </w:tc>
      </w:tr>
      <w:tr>
        <w:trPr/>
        <w:tc>
          <w:tcPr>
            <w:tcW w:type="dxa" w:w="1512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76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</w:p>
        </w:tc>
        <w:tc>
          <w:tcPr>
            <w:tcW w:type="dxa" w:w="1363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76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12.55</w:t>
            </w:r>
          </w:p>
        </w:tc>
        <w:tc>
          <w:tcPr>
            <w:tcW w:type="dxa" w:w="92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76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12.18</w:t>
            </w:r>
          </w:p>
        </w:tc>
        <w:tc>
          <w:tcPr>
            <w:tcW w:type="dxa" w:w="92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76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12.02</w:t>
            </w:r>
          </w:p>
        </w:tc>
        <w:tc>
          <w:tcPr>
            <w:tcW w:type="dxa" w:w="92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76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11.83</w:t>
            </w:r>
          </w:p>
        </w:tc>
        <w:tc>
          <w:tcPr>
            <w:tcW w:type="dxa" w:w="92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76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.90</w:t>
            </w:r>
          </w:p>
        </w:tc>
        <w:tc>
          <w:tcPr>
            <w:tcW w:type="dxa" w:w="92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76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.93</w:t>
            </w:r>
          </w:p>
        </w:tc>
        <w:tc>
          <w:tcPr>
            <w:tcW w:type="dxa" w:w="92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76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1.1</w:t>
            </w:r>
          </w:p>
        </w:tc>
        <w:tc>
          <w:tcPr>
            <w:tcW w:type="dxa" w:w="92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76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  <w:t>1.5</w:t>
            </w:r>
          </w:p>
        </w:tc>
      </w:tr>
      <w:tr>
        <w:trPr/>
        <w:tc>
          <w:tcPr>
            <w:tcW w:type="dxa" w:w="1512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76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</w:p>
        </w:tc>
        <w:tc>
          <w:tcPr>
            <w:tcW w:type="dxa" w:w="1363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76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</w:p>
        </w:tc>
        <w:tc>
          <w:tcPr>
            <w:tcW w:type="dxa" w:w="92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76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</w:p>
        </w:tc>
        <w:tc>
          <w:tcPr>
            <w:tcW w:type="dxa" w:w="92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76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</w:p>
        </w:tc>
        <w:tc>
          <w:tcPr>
            <w:tcW w:type="dxa" w:w="92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76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</w:p>
        </w:tc>
        <w:tc>
          <w:tcPr>
            <w:tcW w:type="dxa" w:w="92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76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</w:p>
        </w:tc>
        <w:tc>
          <w:tcPr>
            <w:tcW w:type="dxa" w:w="92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76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</w:p>
        </w:tc>
        <w:tc>
          <w:tcPr>
            <w:tcW w:type="dxa" w:w="92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76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</w:p>
        </w:tc>
        <w:tc>
          <w:tcPr>
            <w:tcW w:type="dxa" w:w="92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76" w:before="0" w:after="0"/>
              <w:ind w:right="0" w:firstLine="0"/>
              <w:rPr>
                <w:position w:val="0"/>
                <w:sz w:val="22"/>
                <w:szCs w:val="22"/>
                <w:rFonts w:ascii="Times New Roman" w:eastAsia="Times New Roman" w:hAnsi="Times New Roman" w:hint="default"/>
              </w:rPr>
            </w:pPr>
          </w:p>
        </w:tc>
      </w:tr>
    </w:tbl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tbl>
      <w:tblPr>
        <w:tblStyle w:val="PO37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8" w:type="dxa"/>
          <w:top w:w="0" w:type="dxa"/>
          <w:right w:w="108" w:type="dxa"/>
          <w:bottom w:w="0" w:type="dxa"/>
        </w:tblCellMar>
        <w:tblW w:w="0" w:type="auto"/>
        <w:tblInd w:w="720" w:type="dxa"/>
        <w:tblLook w:val="0004A0" w:firstRow="1" w:lastRow="0" w:firstColumn="1" w:lastColumn="0" w:noHBand="0" w:noVBand="1"/>
        <w:tblLayout w:type="fixed"/>
      </w:tblPr>
      <w:tblGrid>
        <w:gridCol w:w="2695"/>
        <w:gridCol w:w="2880"/>
      </w:tblGrid>
      <w:tr>
        <w:trPr/>
        <w:tc>
          <w:tcPr>
            <w:tcW w:type="dxa" w:w="269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76" w:before="0" w:after="0"/>
              <w:ind w:right="0" w:firstLine="0"/>
              <w:rPr>
                <w:position w:val="0"/>
                <w:sz w:val="24"/>
                <w:szCs w:val="24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t xml:space="preserve">95% CI</w:t>
            </w:r>
          </w:p>
        </w:tc>
        <w:tc>
          <w:tcPr>
            <w:tcW w:type="dxa" w:w="2880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76" w:before="0" w:after="0"/>
              <w:ind w:right="0" w:firstLine="0"/>
              <w:rPr>
                <w:position w:val="0"/>
                <w:sz w:val="24"/>
                <w:szCs w:val="24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t>Radiotherapy</w:t>
            </w:r>
          </w:p>
        </w:tc>
      </w:tr>
      <w:tr>
        <w:trPr/>
        <w:tc>
          <w:tcPr>
            <w:tcW w:type="dxa" w:w="269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76" w:before="0" w:after="0"/>
              <w:ind w:right="0" w:firstLine="0"/>
              <w:rPr>
                <w:position w:val="0"/>
                <w:sz w:val="24"/>
                <w:szCs w:val="24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t xml:space="preserve">Week 0</w:t>
            </w:r>
          </w:p>
        </w:tc>
        <w:tc>
          <w:tcPr>
            <w:tcW w:type="dxa" w:w="2880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76" w:before="0" w:after="0"/>
              <w:ind w:right="0" w:firstLine="0"/>
              <w:rPr>
                <w:position w:val="0"/>
                <w:sz w:val="24"/>
                <w:szCs w:val="24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t xml:space="preserve">12.31 – 12.80</w:t>
            </w:r>
          </w:p>
        </w:tc>
      </w:tr>
      <w:tr>
        <w:trPr/>
        <w:tc>
          <w:tcPr>
            <w:tcW w:type="dxa" w:w="269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76" w:before="0" w:after="0"/>
              <w:ind w:right="0" w:firstLine="0"/>
              <w:rPr>
                <w:position w:val="0"/>
                <w:sz w:val="24"/>
                <w:szCs w:val="24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t xml:space="preserve">Week 2</w:t>
            </w:r>
          </w:p>
        </w:tc>
        <w:tc>
          <w:tcPr>
            <w:tcW w:type="dxa" w:w="2880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76" w:before="0" w:after="0"/>
              <w:ind w:right="0" w:firstLine="0"/>
              <w:rPr>
                <w:position w:val="0"/>
                <w:sz w:val="24"/>
                <w:szCs w:val="24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t xml:space="preserve">11.93 – 12.42</w:t>
            </w:r>
          </w:p>
        </w:tc>
      </w:tr>
      <w:tr>
        <w:trPr/>
        <w:tc>
          <w:tcPr>
            <w:tcW w:type="dxa" w:w="269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76" w:before="0" w:after="0"/>
              <w:ind w:right="0" w:firstLine="0"/>
              <w:rPr>
                <w:position w:val="0"/>
                <w:sz w:val="24"/>
                <w:szCs w:val="24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t xml:space="preserve">Week 4</w:t>
            </w:r>
          </w:p>
        </w:tc>
        <w:tc>
          <w:tcPr>
            <w:tcW w:type="dxa" w:w="2880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76" w:before="0" w:after="0"/>
              <w:ind w:right="0" w:firstLine="0"/>
              <w:rPr>
                <w:position w:val="0"/>
                <w:sz w:val="24"/>
                <w:szCs w:val="24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t xml:space="preserve">11.73 – 12.31</w:t>
            </w:r>
          </w:p>
        </w:tc>
      </w:tr>
      <w:tr>
        <w:trPr/>
        <w:tc>
          <w:tcPr>
            <w:tcW w:type="dxa" w:w="269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76" w:before="0" w:after="0"/>
              <w:ind w:right="0" w:firstLine="0"/>
              <w:rPr>
                <w:position w:val="0"/>
                <w:sz w:val="24"/>
                <w:szCs w:val="24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t xml:space="preserve">Week 6</w:t>
            </w:r>
          </w:p>
        </w:tc>
        <w:tc>
          <w:tcPr>
            <w:tcW w:type="dxa" w:w="2880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76" w:before="0" w:after="0"/>
              <w:ind w:right="0" w:firstLine="0"/>
              <w:rPr>
                <w:position w:val="0"/>
                <w:sz w:val="24"/>
                <w:szCs w:val="24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4"/>
                <w:szCs w:val="24"/>
                <w:rFonts w:ascii="Times New Roman" w:eastAsia="Times New Roman" w:hAnsi="Times New Roman" w:hint="default"/>
              </w:rPr>
              <w:t xml:space="preserve">11.52 – 12.13</w:t>
            </w:r>
          </w:p>
        </w:tc>
      </w:tr>
    </w:tbl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  <w:t xml:space="preserve">Table 9: Comparison of Prevalence Group Hb Level and the Baseline </w:t>
      </w:r>
      <w:r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  <w:t xml:space="preserve">Hb of the Study Group.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Comparison of the level of significance using the P-value of 0.05 showed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that there was no significant difference between the prevalence group Hb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level and the baseline Hb of the study group.</w:t>
      </w:r>
    </w:p>
    <w:tbl>
      <w:tblPr>
        <w:tblStyle w:val="PO37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8" w:type="dxa"/>
          <w:top w:w="0" w:type="dxa"/>
          <w:right w:w="108" w:type="dxa"/>
          <w:bottom w:w="0" w:type="dxa"/>
        </w:tblCellMar>
        <w:tblW w:w="9265" w:type="dxa"/>
        <w:tblInd w:w="715" w:type="dxa"/>
        <w:tblLook w:val="0004A0" w:firstRow="1" w:lastRow="0" w:firstColumn="1" w:lastColumn="0" w:noHBand="0" w:noVBand="1"/>
        <w:tblLayout w:type="fixed"/>
      </w:tblPr>
      <w:tblGrid>
        <w:gridCol w:w="2071"/>
        <w:gridCol w:w="1437"/>
        <w:gridCol w:w="1445"/>
        <w:gridCol w:w="1436"/>
        <w:gridCol w:w="1437"/>
        <w:gridCol w:w="1439"/>
      </w:tblGrid>
      <w:tr>
        <w:trPr/>
        <w:tc>
          <w:tcPr>
            <w:tcW w:type="dxa" w:w="2071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76" w:before="0" w:after="0"/>
              <w:ind w:right="0" w:firstLine="0"/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  <w:t>Therapy</w:t>
            </w:r>
          </w:p>
        </w:tc>
        <w:tc>
          <w:tcPr>
            <w:tcW w:type="dxa" w:w="1437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76" w:before="0" w:after="0"/>
              <w:ind w:right="0" w:firstLine="0"/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  <w:t>Baseline</w:t>
            </w:r>
          </w:p>
        </w:tc>
        <w:tc>
          <w:tcPr>
            <w:tcW w:type="dxa" w:w="1445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76" w:before="0" w:after="0"/>
              <w:ind w:right="0" w:firstLine="0"/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  <w:t xml:space="preserve">Prevalence </w:t>
            </w:r>
            <w:r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  <w:t>Group</w:t>
            </w:r>
          </w:p>
        </w:tc>
        <w:tc>
          <w:tcPr>
            <w:tcW w:type="dxa" w:w="1436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76" w:before="0" w:after="0"/>
              <w:ind w:right="0" w:firstLine="0"/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  <w:t>t-test</w:t>
            </w:r>
          </w:p>
        </w:tc>
        <w:tc>
          <w:tcPr>
            <w:tcW w:type="dxa" w:w="1437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76" w:before="0" w:after="0"/>
              <w:ind w:right="0" w:firstLine="0"/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  <w:t>P-value</w:t>
            </w:r>
          </w:p>
        </w:tc>
        <w:tc>
          <w:tcPr>
            <w:tcW w:type="dxa" w:w="1439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276" w:before="0" w:after="0"/>
              <w:ind w:right="0" w:firstLine="0"/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  <w:t>Remark</w:t>
            </w:r>
          </w:p>
        </w:tc>
      </w:tr>
      <w:tr>
        <w:trPr/>
        <w:tc>
          <w:tcPr>
            <w:tcW w:type="dxa" w:w="2071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  <w:t>Radiotherapy</w:t>
            </w:r>
          </w:p>
        </w:tc>
        <w:tc>
          <w:tcPr>
            <w:tcW w:type="dxa" w:w="1437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  <w:t>12.55</w:t>
            </w:r>
          </w:p>
        </w:tc>
        <w:tc>
          <w:tcPr>
            <w:tcW w:type="dxa" w:w="1445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  <w:t>40</w:t>
            </w:r>
          </w:p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  <w:t>37</w:t>
            </w:r>
          </w:p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  <w:t>133</w:t>
            </w:r>
          </w:p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  <w:t>150</w:t>
            </w:r>
          </w:p>
        </w:tc>
        <w:tc>
          <w:tcPr>
            <w:tcW w:type="dxa" w:w="1436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  <w:t>1.604</w:t>
            </w:r>
          </w:p>
        </w:tc>
        <w:tc>
          <w:tcPr>
            <w:tcW w:type="dxa" w:w="1437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  <w:t>0.109</w:t>
            </w:r>
          </w:p>
        </w:tc>
        <w:tc>
          <w:tcPr>
            <w:tcW w:type="dxa" w:w="1439"/>
            <w:vAlign w:val="top"/>
          </w:tcPr>
          <w:p>
            <w:pPr>
              <w:numPr>
                <w:ilvl w:val="0"/>
                <w:numId w:val="0"/>
              </w:numPr>
              <w:jc w:val="center"/>
              <w:spacing w:lineRule="auto" w:line="276" w:before="0" w:after="0"/>
              <w:ind w:right="0" w:firstLine="0"/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  <w:t xml:space="preserve">Not </w:t>
            </w:r>
            <w:r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  <w:t xml:space="preserve">significant </w:t>
            </w:r>
            <w:r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  <w:t xml:space="preserve">&gt; 0.05</w:t>
            </w:r>
          </w:p>
        </w:tc>
      </w:tr>
    </w:tbl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  <w:t xml:space="preserve">Table 10: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Distribution of Mean and Standard Deviation of Hb by set and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type of Treatment.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The table revealed that Hb level was higher in female 12.14g/dl (1.02) than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male 10.82g/dl (0.95) undergoing radiotherapy. This was not statistically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significant at P-value &gt; 0.05.</w:t>
      </w:r>
    </w:p>
    <w:tbl>
      <w:tblPr>
        <w:tblStyle w:val="PO37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8" w:type="dxa"/>
          <w:top w:w="0" w:type="dxa"/>
          <w:right w:w="108" w:type="dxa"/>
          <w:bottom w:w="0" w:type="dxa"/>
        </w:tblCellMar>
        <w:tblW w:w="0" w:type="auto"/>
        <w:tblInd w:w="959" w:type="dxa"/>
        <w:tblLook w:val="0004A0" w:firstRow="1" w:lastRow="0" w:firstColumn="1" w:lastColumn="0" w:noHBand="0" w:noVBand="1"/>
        <w:tblLayout w:type="fixed"/>
      </w:tblPr>
      <w:tblGrid>
        <w:gridCol w:w="3118"/>
        <w:gridCol w:w="4790"/>
      </w:tblGrid>
      <w:tr>
        <w:trPr/>
        <w:tc>
          <w:tcPr>
            <w:tcW w:type="dxa" w:w="3118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  <w:t>Set</w:t>
            </w:r>
          </w:p>
        </w:tc>
        <w:tc>
          <w:tcPr>
            <w:tcW w:type="dxa" w:w="4790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  <w:t xml:space="preserve">Mean/Standard Deviation</w:t>
            </w:r>
          </w:p>
        </w:tc>
      </w:tr>
      <w:tr>
        <w:trPr/>
        <w:tc>
          <w:tcPr>
            <w:tcW w:type="dxa" w:w="3118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  <w:t>Therapy</w:t>
            </w:r>
          </w:p>
        </w:tc>
        <w:tc>
          <w:tcPr>
            <w:tcW w:type="dxa" w:w="4790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  <w:t>Radiotherapy</w:t>
            </w:r>
          </w:p>
        </w:tc>
      </w:tr>
      <w:tr>
        <w:trPr/>
        <w:tc>
          <w:tcPr>
            <w:tcW w:type="dxa" w:w="3118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  <w:t>Male</w:t>
            </w:r>
          </w:p>
        </w:tc>
        <w:tc>
          <w:tcPr>
            <w:tcW w:type="dxa" w:w="4790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  <w:t xml:space="preserve">10.82 (0.95)</w:t>
            </w:r>
          </w:p>
        </w:tc>
      </w:tr>
      <w:tr>
        <w:trPr/>
        <w:tc>
          <w:tcPr>
            <w:tcW w:type="dxa" w:w="3118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  <w:t>Female</w:t>
            </w:r>
          </w:p>
        </w:tc>
        <w:tc>
          <w:tcPr>
            <w:tcW w:type="dxa" w:w="4790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  <w:t xml:space="preserve">12.14 (1.02)</w:t>
            </w:r>
          </w:p>
        </w:tc>
      </w:tr>
      <w:tr>
        <w:trPr/>
        <w:tc>
          <w:tcPr>
            <w:tcW w:type="dxa" w:w="3118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  <w:t xml:space="preserve">95% CI Mean difference</w:t>
            </w:r>
          </w:p>
        </w:tc>
        <w:tc>
          <w:tcPr>
            <w:tcW w:type="dxa" w:w="4790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  <w:t xml:space="preserve">- 1-32 </w:t>
            </w:r>
            <w:r>
              <w:rPr>
                <w:position w:val="0"/>
                <w:sz w:val="28"/>
                <w:szCs w:val="28"/>
                <w:rFonts w:ascii="Calibri" w:eastAsia="Times New Roman" w:hAnsi="Times New Roman" w:hint="default"/>
              </w:rPr>
              <w:t>±</w:t>
            </w:r>
            <w:r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  <w:t xml:space="preserve"> 2.73</w:t>
            </w:r>
          </w:p>
        </w:tc>
      </w:tr>
      <w:tr>
        <w:trPr/>
        <w:tc>
          <w:tcPr>
            <w:tcW w:type="dxa" w:w="3118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  <w:t xml:space="preserve">  t</w:t>
            </w:r>
          </w:p>
        </w:tc>
        <w:tc>
          <w:tcPr>
            <w:tcW w:type="dxa" w:w="4790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  <w:t xml:space="preserve">- 2.96</w:t>
            </w:r>
          </w:p>
        </w:tc>
      </w:tr>
      <w:tr>
        <w:trPr/>
        <w:tc>
          <w:tcPr>
            <w:tcW w:type="dxa" w:w="3118"/>
            <w:vAlign w:val="top"/>
          </w:tcPr>
          <w:p>
            <w:pPr>
              <w:numPr>
                <w:ilvl w:val="0"/>
                <w:numId w:val="0"/>
              </w:numPr>
              <w:jc w:val="left"/>
              <w:spacing w:lineRule="auto" w:line="360" w:before="0" w:after="0"/>
              <w:ind w:right="0" w:firstLine="0"/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  <w:t xml:space="preserve">  P-value</w:t>
            </w:r>
          </w:p>
        </w:tc>
        <w:tc>
          <w:tcPr>
            <w:tcW w:type="dxa" w:w="4790"/>
            <w:vAlign w:val="top"/>
          </w:tcPr>
          <w:p>
            <w:pPr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</w:pPr>
            <w:r>
              <w:rPr>
                <w:position w:val="0"/>
                <w:sz w:val="28"/>
                <w:szCs w:val="28"/>
                <w:rFonts w:ascii="Times New Roman" w:eastAsia="Times New Roman" w:hAnsi="Times New Roman" w:hint="default"/>
              </w:rPr>
              <w:t xml:space="preserve">P &gt; 0.05 (Not Significant)</w:t>
            </w:r>
          </w:p>
        </w:tc>
      </w:tr>
    </w:tbl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  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center"/>
        <w:spacing w:lineRule="auto" w:line="360" w:before="0" w:after="0"/>
        <w:ind w:left="720" w:right="0" w:firstLine="0"/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center"/>
        <w:spacing w:lineRule="auto" w:line="360" w:before="0" w:after="0"/>
        <w:ind w:left="720" w:right="0" w:firstLine="0"/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center"/>
        <w:spacing w:lineRule="auto" w:line="360" w:before="0" w:after="0"/>
        <w:ind w:left="720" w:right="0" w:firstLine="0"/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center"/>
        <w:spacing w:lineRule="auto" w:line="360" w:before="0" w:after="0"/>
        <w:ind w:left="720" w:right="0" w:firstLine="0"/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center"/>
        <w:spacing w:lineRule="auto" w:line="360" w:before="0" w:after="0"/>
        <w:ind w:left="720" w:right="0" w:firstLine="0"/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center"/>
        <w:spacing w:lineRule="auto" w:line="360" w:before="0" w:after="0"/>
        <w:ind w:left="720" w:right="0" w:firstLine="0"/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center"/>
        <w:spacing w:lineRule="auto" w:line="360" w:before="0" w:after="0"/>
        <w:ind w:left="720" w:right="0" w:firstLine="0"/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  <w:t xml:space="preserve">Discussion </w:t>
      </w:r>
    </w:p>
    <w:p>
      <w:pPr>
        <w:numPr>
          <w:ilvl w:val="0"/>
          <w:numId w:val="0"/>
        </w:numPr>
        <w:jc w:val="center"/>
        <w:spacing w:lineRule="auto" w:line="360" w:before="0" w:after="0"/>
        <w:ind w:left="720" w:right="0" w:firstLine="0"/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vertAlign w:val="superscript"/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In the study, a total of six-three (63) cancer patients undergoing radiotherapy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at the National Hospital Abuja were analyzed. Majority of the cancer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patients in this study were female 92.1% and 7.9% were male. This finding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was in agreement with studies done by other researchers.</w:t>
      </w:r>
      <w:r>
        <w:rPr>
          <w:vertAlign w:val="superscript"/>
          <w:position w:val="0"/>
          <w:sz w:val="28"/>
          <w:szCs w:val="28"/>
          <w:rFonts w:ascii="Times New Roman" w:eastAsia="Times New Roman" w:hAnsi="Times New Roman" w:hint="default"/>
        </w:rPr>
        <w:t xml:space="preserve">10,30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The sex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distribution above was found to be in contrast to many other studies which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showed that male cancer patients generally were in higher proportion than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female cancer patients</w:t>
      </w:r>
      <w:r>
        <w:rPr>
          <w:vertAlign w:val="superscript"/>
          <w:position w:val="0"/>
          <w:sz w:val="28"/>
          <w:szCs w:val="28"/>
          <w:rFonts w:ascii="Times New Roman" w:eastAsia="Times New Roman" w:hAnsi="Times New Roman" w:hint="default"/>
        </w:rPr>
        <w:t>.31,32,33,34,35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10"/>
          <w:szCs w:val="1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In this study, the higher percentage of female cancer patients may be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explained on the account of willingness of female participants in cancer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study, and readiness to report to hospital for medical evaluation when sick or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routine check than their male counterpart in our environment.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10"/>
          <w:szCs w:val="1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vertAlign w:val="superscript"/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Another important demographic parameter was the age range of the study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population. In this study the age range of the cancer patients analyzed was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between 25 – 75 years with a median value of 50 years. However, majority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of the patients were in age range 35 – 44 years. This age range constituted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30.2% of the 63 cancer patients analyzed. This report was in contrast to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median age of cancer patients evaluated in different studies where cancer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cases were found mostly in the middle aged and elderly patients. The median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age of cancer patients were found to be above 55 years in a number of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>studies</w:t>
      </w:r>
      <w:r>
        <w:rPr>
          <w:vertAlign w:val="superscript"/>
          <w:position w:val="0"/>
          <w:sz w:val="28"/>
          <w:szCs w:val="28"/>
          <w:rFonts w:ascii="Times New Roman" w:eastAsia="Times New Roman" w:hAnsi="Times New Roman" w:hint="default"/>
        </w:rPr>
        <w:t>.10,31,36,37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10"/>
          <w:szCs w:val="1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vertAlign w:val="superscript"/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However, a number of cancers have been identified with risk factors such as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low socio-economic, gender, race and geographical area. This view was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supported by work done by Cassidy et al.</w:t>
      </w:r>
      <w:r>
        <w:rPr>
          <w:vertAlign w:val="superscript"/>
          <w:position w:val="0"/>
          <w:sz w:val="28"/>
          <w:szCs w:val="28"/>
          <w:rFonts w:ascii="Times New Roman" w:eastAsia="Times New Roman" w:hAnsi="Times New Roman" w:hint="default"/>
        </w:rPr>
        <w:t>38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vertAlign w:val="superscript"/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Six-three cancer patients undergoing radiotherapy were analyzed for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commonest tumour site. The commonest site was breast 47.6% and the least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was lung 3.2%. This result was in agreement with other studies which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showed that many breast cancer patients undergoing radical mastectomy or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breast conservative surgery usually benefit from adjuvant dose of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>radiotherapy.</w:t>
      </w:r>
      <w:r>
        <w:rPr>
          <w:vertAlign w:val="superscript"/>
          <w:position w:val="0"/>
          <w:sz w:val="28"/>
          <w:szCs w:val="28"/>
          <w:rFonts w:ascii="Times New Roman" w:eastAsia="Times New Roman" w:hAnsi="Times New Roman" w:hint="default"/>
        </w:rPr>
        <w:t>39,40,41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 As the female gender dominated this study population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and that breast is commonest site in female tumour supported our findings in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this work.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10"/>
          <w:szCs w:val="1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The percentage distribution by stage of tumour and type of treatment showed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that most patients in this study had stage III disease which constituted 74.6%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of 63 cancer patients analyzed. Only one patient had stage I which constitute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1.6% while those in stage II were only 23.8%. This report was in agreement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with study done by Kaiser et al</w:t>
      </w:r>
      <w:r>
        <w:rPr>
          <w:vertAlign w:val="superscript"/>
          <w:position w:val="0"/>
          <w:sz w:val="28"/>
          <w:szCs w:val="28"/>
          <w:rFonts w:ascii="Times New Roman" w:eastAsia="Times New Roman" w:hAnsi="Times New Roman" w:hint="default"/>
        </w:rPr>
        <w:t>42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 which showed that 60 – 75% of cancer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patients that invariably developed anaemia were at advanced stages. This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higher stage in this study may be related to late presentation in the Radiation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Oncology Clinic, delay in tumour diagnosis, paucity of Radiation Oncology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centres, lack of experience and delay in initiating treatment due to logistics.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10"/>
          <w:szCs w:val="1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The percentage distribution of Hb by duration of treatmenet for cancer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patients undergoing radiotherapy in this study was analyzed from week 0 to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week 6. The week 0 defined as the first day of radiotherapy administration to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the first two weeks. From week 0 to week 2, the effect of radiation on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haemoglobin level was not noticed. This observation has radio biological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implication as most acute phase reaction is usually noticed after first two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weeks of radiotherapy. As haematopoietic, mucosa and crypt of intestinal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epithelium are included in these group of early responding tissues, most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reactions from these cells are usually noticed at this time. However, as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patients proceeded into week 4 to week 6, the effect of radiation on the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haemoglobin level started to be noticed. At week 4 to week 6, about 4 (6.4%)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patients had Hb &lt; 10g/dl. At the completion of radiotherapy at week 6,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55.6% of the patients had haemoglobin value at the range of 11 – 12g/dl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while 36.5% had Hb below this value.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10"/>
          <w:szCs w:val="1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There was gradual decline in Hb level as the radiotherapy treatment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proceeded from week 0 to week 6. The result of this study was in agreement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with work done by Harrison et al</w:t>
      </w:r>
      <w:r>
        <w:rPr>
          <w:vertAlign w:val="superscript"/>
          <w:position w:val="0"/>
          <w:sz w:val="28"/>
          <w:szCs w:val="28"/>
          <w:rFonts w:ascii="Times New Roman" w:eastAsia="Times New Roman" w:hAnsi="Times New Roman" w:hint="default"/>
        </w:rPr>
        <w:t>43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 which evaluated pre-treatment anaemia in  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cancer patients in radiotherapy clinic and found that 41% of the patients had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Hb level below 12g/dl. This result was further strengthened by the report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from Amit et al</w:t>
      </w:r>
      <w:r>
        <w:rPr>
          <w:vertAlign w:val="superscript"/>
          <w:position w:val="0"/>
          <w:sz w:val="28"/>
          <w:szCs w:val="28"/>
          <w:rFonts w:ascii="Times New Roman" w:eastAsia="Times New Roman" w:hAnsi="Times New Roman" w:hint="default"/>
        </w:rPr>
        <w:t xml:space="preserve">44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which evaluated pre-treatment anaemia in 300 cancer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patients in radiotherapy clinic and found that 54.7% of the patients had Hb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level below 12g/dl.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10"/>
          <w:szCs w:val="1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Other researchers have confirmed from their findings that radiotherapy has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effect on baseline Hb level and also that in patients undergoing radiotherapy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that average weekly nadir Hb greater than 12g/dl significantly correlated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with improved local control, disease-free survival, predicted cause-specific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survival and overall survival.</w:t>
      </w:r>
      <w:r>
        <w:rPr>
          <w:vertAlign w:val="superscript"/>
          <w:position w:val="0"/>
          <w:sz w:val="28"/>
          <w:szCs w:val="28"/>
          <w:rFonts w:ascii="Times New Roman" w:eastAsia="Times New Roman" w:hAnsi="Times New Roman" w:hint="default"/>
        </w:rPr>
        <w:t>45,46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10"/>
          <w:szCs w:val="1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This study was further supported by the work done by Dunst et al</w:t>
      </w:r>
      <w:r>
        <w:rPr>
          <w:vertAlign w:val="superscript"/>
          <w:position w:val="0"/>
          <w:sz w:val="28"/>
          <w:szCs w:val="28"/>
          <w:rFonts w:ascii="Times New Roman" w:eastAsia="Times New Roman" w:hAnsi="Times New Roman" w:hint="default"/>
        </w:rPr>
        <w:t>47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 from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Martin Luther King University which evaluated initial (0 GY) and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midtherapy (19.8GY) haemoglobin level and tumour oxygenation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measurement. Midtherapy Hb level was found to be the most important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determinant of local control and survival. This assertion was supported by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another finding that single baseline measurement of Hb level is not the most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important but the follow-up Hb level measurement during treatment.</w:t>
      </w:r>
      <w:r>
        <w:rPr>
          <w:vertAlign w:val="superscript"/>
          <w:position w:val="0"/>
          <w:sz w:val="28"/>
          <w:szCs w:val="28"/>
          <w:rFonts w:ascii="Times New Roman" w:eastAsia="Times New Roman" w:hAnsi="Times New Roman" w:hint="default"/>
        </w:rPr>
        <w:t xml:space="preserve">44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Further studies to strengthen our findings were found in the work done by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other researchers on pre-treatment Hb value and effect of haemoglobin level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on radiotherapy outcome in cervical cancer patients.</w:t>
      </w:r>
      <w:r>
        <w:rPr>
          <w:vertAlign w:val="superscript"/>
          <w:position w:val="0"/>
          <w:sz w:val="28"/>
          <w:szCs w:val="28"/>
          <w:rFonts w:ascii="Times New Roman" w:eastAsia="Times New Roman" w:hAnsi="Times New Roman" w:hint="default"/>
        </w:rPr>
        <w:t>48,49,50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10"/>
          <w:szCs w:val="1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Also, Langendijk et al</w:t>
      </w:r>
      <w:r>
        <w:rPr>
          <w:vertAlign w:val="superscript"/>
          <w:position w:val="0"/>
          <w:sz w:val="28"/>
          <w:szCs w:val="28"/>
          <w:rFonts w:ascii="Times New Roman" w:eastAsia="Times New Roman" w:hAnsi="Times New Roman" w:hint="default"/>
        </w:rPr>
        <w:t>51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 in their study of importance of pre-treatment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haemoglobin level in inoperable non-small cell lung carcinoma treated with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radical radiotherapy found that higher pre-treatment Hb was associated with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better loco-regional control and overall survival. Kapp et al</w:t>
      </w:r>
      <w:r>
        <w:rPr>
          <w:vertAlign w:val="superscript"/>
          <w:position w:val="0"/>
          <w:sz w:val="28"/>
          <w:szCs w:val="28"/>
          <w:rFonts w:ascii="Times New Roman" w:eastAsia="Times New Roman" w:hAnsi="Times New Roman" w:hint="default"/>
        </w:rPr>
        <w:t>52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 evaluated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effect of packed cell red blood cell transfusion in anaemia cervix cancer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patients treated with radical radiotherapy with pre-treatment Hb &lt; 11g/dl and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treatment Hb &gt; 11g/dl. Their conclusion was that treatment Hb remained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predictive for disease-specific survival, pelvic control and metastases-free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>survival.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10"/>
          <w:szCs w:val="1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In head and neck cancers treated with radical radiotherapy with Hb </w:t>
      </w:r>
      <w:r>
        <w:rPr>
          <w:position w:val="0"/>
          <w:sz w:val="28"/>
          <w:szCs w:val="28"/>
          <w:u w:val="single"/>
          <w:rFonts w:ascii="Times New Roman" w:eastAsia="Times New Roman" w:hAnsi="Times New Roman" w:hint="default"/>
        </w:rPr>
        <w:t>&lt;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13.5g/dl in men, and less than 12g/dl in female, anaemia was found to be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associated with worse loco-regional control.</w:t>
      </w:r>
      <w:r>
        <w:rPr>
          <w:vertAlign w:val="superscript"/>
          <w:position w:val="0"/>
          <w:sz w:val="28"/>
          <w:szCs w:val="28"/>
          <w:rFonts w:ascii="Times New Roman" w:eastAsia="Times New Roman" w:hAnsi="Times New Roman" w:hint="default"/>
        </w:rPr>
        <w:t>53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 While our study did not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involve overall survival, disease-specific survival and disease-free survival,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the result of various findings point to the importance of pre-treatment and on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treatment haemaglobin level in cancer patients undergoing radiotherapy.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10"/>
          <w:szCs w:val="1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The distribution of mean and standard deviation of haemoglobin level by sex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and type of treatment showed that it was not statistically significant hence P-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value &gt;0.05. However, male Hb level was slightly lower than female in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radiotherapy. This result was in contrast with the report by Natasha et al</w:t>
      </w:r>
      <w:r>
        <w:rPr>
          <w:vertAlign w:val="superscript"/>
          <w:position w:val="0"/>
          <w:sz w:val="28"/>
          <w:szCs w:val="28"/>
          <w:rFonts w:ascii="Times New Roman" w:eastAsia="Times New Roman" w:hAnsi="Times New Roman" w:hint="default"/>
        </w:rPr>
        <w:t>31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which found that there was a trend for higher incidence of anaemia in female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than male. This assertion was supported by a report from Harrison et al</w:t>
      </w:r>
      <w:r>
        <w:rPr>
          <w:vertAlign w:val="superscript"/>
          <w:position w:val="0"/>
          <w:sz w:val="28"/>
          <w:szCs w:val="28"/>
          <w:rFonts w:ascii="Times New Roman" w:eastAsia="Times New Roman" w:hAnsi="Times New Roman" w:hint="default"/>
        </w:rPr>
        <w:t>54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who found that prevalence of anaemia was higher in female than in male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before and during radiotherapy (54 vs 28% at baseline; 63 vs 43% during).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10"/>
          <w:szCs w:val="1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Prior to this study, attempts were made to establish prevalence of anaemia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among cancer patients (solid tumours) in the Radiation Oncology Unit of the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National Hospital Abuja, Nigeria as there was no National value or hospital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based value to rely on for reference purposes in calculating sample size. For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this reason, pre-treatment Hb level of cancer patients attending Radiation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Oncology Clinic who met inclusion criteria was recorded from 1</w:t>
      </w:r>
      <w:r>
        <w:rPr>
          <w:vertAlign w:val="superscript"/>
          <w:position w:val="0"/>
          <w:sz w:val="28"/>
          <w:szCs w:val="28"/>
          <w:rFonts w:ascii="Times New Roman" w:eastAsia="Times New Roman" w:hAnsi="Times New Roman" w:hint="default"/>
        </w:rPr>
        <w:t>st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 January –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>31</w:t>
      </w:r>
      <w:r>
        <w:rPr>
          <w:vertAlign w:val="superscript"/>
          <w:position w:val="0"/>
          <w:sz w:val="28"/>
          <w:szCs w:val="28"/>
          <w:rFonts w:ascii="Times New Roman" w:eastAsia="Times New Roman" w:hAnsi="Times New Roman" w:hint="default"/>
        </w:rPr>
        <w:t>st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 December 2011. A total of 360 cancer patients who had not received any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cancer treatment at their first consultation were displayed on table 6 and 7 as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prevalence group.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10"/>
          <w:szCs w:val="1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The result from this study revealed that 41.7% of 360 patients analyzed had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Hb level greater than 12g/dl, while 58.3% had haemoglobin value less than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12g/dl. 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10"/>
          <w:szCs w:val="1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This study was in agreement with work done by Natasha et al and Lee et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>al,</w:t>
      </w:r>
      <w:r>
        <w:rPr>
          <w:vertAlign w:val="superscript"/>
          <w:position w:val="0"/>
          <w:sz w:val="28"/>
          <w:szCs w:val="28"/>
          <w:rFonts w:ascii="Times New Roman" w:eastAsia="Times New Roman" w:hAnsi="Times New Roman" w:hint="default"/>
        </w:rPr>
        <w:t>44,13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 who found that prevalence of anaemia in cancer patients to be 55.7%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and 64% respectively.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10"/>
          <w:szCs w:val="1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Marylou et al</w:t>
      </w:r>
      <w:r>
        <w:rPr>
          <w:vertAlign w:val="superscript"/>
          <w:position w:val="0"/>
          <w:sz w:val="28"/>
          <w:szCs w:val="28"/>
          <w:rFonts w:ascii="Times New Roman" w:eastAsia="Times New Roman" w:hAnsi="Times New Roman" w:hint="default"/>
        </w:rPr>
        <w:t>55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 found a high prevalence and incidence of anaemia in patients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with cancer who were admitted into Intensive Care Unit. The prevalence of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anaemia was 68% and incidence was 46.6%. The difference is our study may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be explained by the fact that patients in intensive care unit already had poor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performance in status. This study was also in agreement with result from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Ludwig et al</w:t>
      </w:r>
      <w:r>
        <w:rPr>
          <w:vertAlign w:val="superscript"/>
          <w:position w:val="0"/>
          <w:sz w:val="28"/>
          <w:szCs w:val="28"/>
          <w:rFonts w:ascii="Times New Roman" w:eastAsia="Times New Roman" w:hAnsi="Times New Roman" w:hint="default"/>
        </w:rPr>
        <w:t>10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 which found that anaemia occurred in 39.7% of patients who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did not receive cancer treatment at any time during the survey.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10"/>
          <w:szCs w:val="1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A comparison was done between the baseline Hb value of the study group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and prevalence group. This was found not to be statistically significant using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the P-value of &lt; 0.05. This finding was in agreement with studies done by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Hong et al</w:t>
      </w:r>
      <w:r>
        <w:rPr>
          <w:vertAlign w:val="superscript"/>
          <w:position w:val="0"/>
          <w:sz w:val="28"/>
          <w:szCs w:val="28"/>
          <w:rFonts w:ascii="Times New Roman" w:eastAsia="Times New Roman" w:hAnsi="Times New Roman" w:hint="default"/>
        </w:rPr>
        <w:t>10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 which found that there was a trend of partial response to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radiotherapy being associated with lower haemoglobin level that did not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reach statistical significance. The mean Hb, standard deviation and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confidence interval by sex of the prevalence group correlated with above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discussion. It showed that majority of the cancer patients had Hb &lt; 12g/dl at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presentation and Hb of males were slightly higher than female 11.68 (2.054)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and 11.15 (1.815)g/dl respectively. The above difference was not statistically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significant (P-value &gt; 0.05). However, in our study the distribution of means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and standarded deviation of Hb by sex and type of treatment revealed that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Hb level of female cancer patients was higher than male. Although this was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not statistically significant the result was supported by observation made by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other researchers.</w:t>
      </w:r>
      <w:r>
        <w:rPr>
          <w:vertAlign w:val="superscript"/>
          <w:position w:val="0"/>
          <w:sz w:val="28"/>
          <w:szCs w:val="28"/>
          <w:rFonts w:ascii="Times New Roman" w:eastAsia="Times New Roman" w:hAnsi="Times New Roman" w:hint="default"/>
        </w:rPr>
        <w:t>10,31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10"/>
          <w:szCs w:val="1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Table 8 showed the distribution of mean Hb, standard deviation and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confidence interval by type of treatment from week 0 to week 6.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10"/>
          <w:szCs w:val="1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The Hb range at the end of therapy or week 6 showed Hb value of 11.52 –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12.13g/dl. This Hb value was observed not to be statistically significant (P-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value &gt; 0.05).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10"/>
          <w:szCs w:val="1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This study was in agreement with report by Ludwig et al</w:t>
      </w:r>
      <w:r>
        <w:rPr>
          <w:vertAlign w:val="superscript"/>
          <w:position w:val="0"/>
          <w:sz w:val="28"/>
          <w:szCs w:val="28"/>
          <w:rFonts w:ascii="Times New Roman" w:eastAsia="Times New Roman" w:hAnsi="Times New Roman" w:hint="default"/>
        </w:rPr>
        <w:t>10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 which found that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cancer patient treated and evaluated after, that anaemia occurred in 28.7% of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patients who received radiotherapy. Our study was strengthened by the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report of the blood film pictures of cancer patients treated with radiotherapy.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It showed that 42.9% (63) of the cancer patients undergoing radiotherapy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were anaemic.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10"/>
          <w:szCs w:val="1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To reduce a lot of confounding factors which will likely influence the results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of this study, all the patients who participated had World Health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Organization (WHO) performance status of 0 and I. out of the 63 patients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studied, 60.3% (63) had WHO performance status of I.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10"/>
          <w:szCs w:val="1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The correlation between patients performance status and haemoglobin level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was elucidated by Natasha et al</w:t>
      </w:r>
      <w:r>
        <w:rPr>
          <w:vertAlign w:val="superscript"/>
          <w:position w:val="0"/>
          <w:sz w:val="28"/>
          <w:szCs w:val="28"/>
          <w:rFonts w:ascii="Times New Roman" w:eastAsia="Times New Roman" w:hAnsi="Times New Roman" w:hint="default"/>
        </w:rPr>
        <w:t>44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 in their study of 1,403 cancer patients.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They found that there was clear correlation between the severity of anaemia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and WHO performance status. In their study there were patients at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enrollment with poor performance status at lower Hb level than at higher Hb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level. WHO score of 2 – 4 were recorded for 65% of patients with Hb less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than 8 and 9.9g/dl, 22% of those with Hb between 10 and 11.9g/dl and 1%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of those with Hb &gt; 12g/dl. With this brilliant analysis by Natasha et al,</w:t>
      </w:r>
      <w:r>
        <w:rPr>
          <w:vertAlign w:val="superscript"/>
          <w:position w:val="0"/>
          <w:sz w:val="28"/>
          <w:szCs w:val="28"/>
          <w:rFonts w:ascii="Times New Roman" w:eastAsia="Times New Roman" w:hAnsi="Times New Roman" w:hint="default"/>
        </w:rPr>
        <w:t>44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 it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was wise to select patients with good WHO performance status hence the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justification for the criteria of recruiting cancer patients with WHO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performance status of 0 and I in this study.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10"/>
          <w:szCs w:val="1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Also, Kosmidis et al</w:t>
      </w:r>
      <w:r>
        <w:rPr>
          <w:vertAlign w:val="superscript"/>
          <w:position w:val="0"/>
          <w:sz w:val="28"/>
          <w:szCs w:val="28"/>
          <w:rFonts w:ascii="Times New Roman" w:eastAsia="Times New Roman" w:hAnsi="Times New Roman" w:hint="default"/>
        </w:rPr>
        <w:t>50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 observed that at low level of Hb some cancer patients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may experience severe anaemia-related symptoms that have a profound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effect on their quality of life (QOL), physical and mental functioning and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subjective sense of well-being. 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10"/>
          <w:szCs w:val="1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  <w:t>Conclusion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The prevalence of anaemia among 63 cancer patients who had radiotherapy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in this study was found to be 42.9% while 57.1% had adequate haemoglobin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after the therapy as reflected in the blood film.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10"/>
          <w:szCs w:val="1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Female group dominated the study population because the commonest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tumour site was breast. It was noticed that the 63 cancer patients recruited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for the study who had initial adequate haemoglobin level for their gender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(female </w:t>
      </w:r>
      <w:r>
        <w:rPr>
          <w:position w:val="0"/>
          <w:sz w:val="28"/>
          <w:szCs w:val="28"/>
          <w:u w:val="single"/>
          <w:rFonts w:ascii="Times New Roman" w:eastAsia="Times New Roman" w:hAnsi="Times New Roman" w:hint="default"/>
        </w:rPr>
        <w:t>&gt;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 11g/dl and male </w:t>
      </w:r>
      <w:r>
        <w:rPr>
          <w:position w:val="0"/>
          <w:sz w:val="28"/>
          <w:szCs w:val="28"/>
          <w:u w:val="single"/>
          <w:rFonts w:ascii="Times New Roman" w:eastAsia="Times New Roman" w:hAnsi="Times New Roman" w:hint="default"/>
        </w:rPr>
        <w:t>&gt;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 12g/dl) had a downward trend in their Hb level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as the treatment commenced. This observation was reflected in blood film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pictures of the patients.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10"/>
          <w:szCs w:val="1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Therefore, it would be reasonable to take a proactive approach in identifying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this population of cancer patients who need treatment for radiotherapy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induced anaemia and to provide timely intervention. While pre-treatment Hb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level measurement is very important, it is the on-treatment Hb level thata is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very critical as patients with initial adequate Hb value may easily be tilted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into clinical anaemia anaemia as their treatment progress. At 95%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confidence interval (95 CI) evaluation of effect of radiotherapy on the Hb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level of the cancer patients was not statistically significant hence P-value &gt;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>0.05.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  <w:t xml:space="preserve">Limitation of the Study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Financial implication of the research work limited the number of patients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that could have been recruited for the study.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10"/>
          <w:szCs w:val="1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  <w:t xml:space="preserve">Source of Finding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National Hospital Abuja, Nigeria, Research grant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14"/>
          <w:szCs w:val="14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  <w:t xml:space="preserve">Conflict of Interest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>None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10"/>
          <w:szCs w:val="1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  <w:t>Acknowledgement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Prof Nwagbo Douglas, Biostatistician, Shola Osaretin who typed the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manuscript, Mrs. Nkechinyere Aruah for standing by me in the course of the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research work, National Hospital Management for the research grant which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made the work possible. Also the cancer patients who were patient and gave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their best to make the work a success. I thank you all.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center"/>
        <w:spacing w:lineRule="auto" w:line="360" w:before="0" w:after="0"/>
        <w:ind w:left="720" w:right="0" w:firstLine="0"/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  <w:t>REFERENCES</w:t>
      </w:r>
    </w:p>
    <w:p>
      <w:pPr>
        <w:numPr>
          <w:ilvl w:val="0"/>
          <w:numId w:val="0"/>
        </w:numPr>
        <w:jc w:val="both"/>
        <w:spacing w:lineRule="auto" w:line="360" w:before="0" w:after="0"/>
        <w:ind w:right="0" w:firstLine="0"/>
        <w:rPr>
          <w:b w:val="1"/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1.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ab/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Miller C B et al; “Decreased erythropoietin response in patients with the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anaemia of cancer” National England Journal of Medicine (1990); 322:pp.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>1689-1692.</w:t>
      </w: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10"/>
          <w:szCs w:val="1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2.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ab/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Demitri GD, “Anaemia and its functional consequences in cancer patient: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current challenges in management and prospects for improving therapy”.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Britain Journal of cancer (2001); 84 (Suppl I): pp.31-37.</w:t>
      </w: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10"/>
          <w:szCs w:val="1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3.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ab/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National Comprehensive Cancer Network (NCCN) Clinical Practice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Guideline in Oncology Cancer and Chemotherapy induced anaemia V3.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>2009.</w:t>
      </w: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10"/>
          <w:szCs w:val="1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4.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ab/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Ludwig H, Strasser K, “Symptomatology of anaemi&amp;’, Seminar Oncology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(2001); 28: PP. 7-14.</w:t>
      </w: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10"/>
          <w:szCs w:val="1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5.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ab/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Birgegard G, Aapro MS, Bokemeyer C et al; “Cancer-related anaemia,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Pathogenesis, Prevalence and Treatment”. Oncology 2005; 68 (Suppl I) 3-11.</w:t>
      </w: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10"/>
          <w:szCs w:val="1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6.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ab/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Molls M, Stadler P, Backer A, Feildeman HJ, Dunst J, Mechanism of action,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Correlation to low haemoglobin levels. Strahlenther Onkol 1998; 174 (Suppl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4): 3-6.</w:t>
      </w: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10"/>
          <w:szCs w:val="10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7.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ab/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Nordsmark M, Overgeard M, Overgeard J, Pre-treatment oxygenation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predicts radiation response in advanced squanous cell carcinoma of head and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neck”, Radiation oncology (1996); 41: pp.31-39.</w:t>
      </w:r>
    </w:p>
    <w:p>
      <w:pPr>
        <w:numPr>
          <w:ilvl w:val="0"/>
          <w:numId w:val="0"/>
        </w:numPr>
        <w:jc w:val="both"/>
        <w:spacing w:lineRule="auto" w:line="360" w:before="0" w:after="0"/>
        <w:ind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8.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ab/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Groopman JE, Itri LM. Chemotherapy induced anaemia in adults: Incidence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and treatment. J Natl Cancer Institute 1999; 91:1616-34.</w:t>
      </w: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8"/>
          <w:szCs w:val="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9.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ab/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Hendus M, Birgegaard G, Nasman P, et al; Addition of intravenous Iron to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epoietin beta increases haemoglobin response and decrease epoietin dose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requirement in anaemia patients with lympho proliferative malignancies: A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randomized multicentre study. Leukaemia 2007; 21:627-632.</w:t>
      </w: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10.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ab/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Ludwig H, Van Belles, Barrett-lee P et al. The European Cancer Anaemia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Survey (ECAS): A large multinational prospective survey defining the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prevalence, incidence and treatment of anaemia in cancer patients Eur J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Cancer (2004); 40:2293-2306.</w:t>
      </w: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11.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ab/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National Cancer Institute. SEER database results. Accessed August 14, 2011.</w:t>
      </w: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8"/>
          <w:szCs w:val="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12.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ab/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Institute of Human Virology bf Nigeria (IHVN). Cancer Registration in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Capacity Development for Research into aids-Associated Malignancies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(CADRE) 2012.</w:t>
      </w:r>
    </w:p>
    <w:p>
      <w:pPr>
        <w:numPr>
          <w:ilvl w:val="0"/>
          <w:numId w:val="0"/>
        </w:numPr>
        <w:jc w:val="both"/>
        <w:spacing w:lineRule="auto" w:line="360" w:before="0" w:after="0"/>
        <w:ind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>13.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ab/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Sa’ adatu I Sule, Mohammed S, Shehu. Cervical Cancer Management.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African Journal of Health Science (2007): volume 14:149-153.</w:t>
      </w:r>
    </w:p>
    <w:p>
      <w:pPr>
        <w:numPr>
          <w:ilvl w:val="0"/>
          <w:numId w:val="0"/>
        </w:numPr>
        <w:jc w:val="both"/>
        <w:spacing w:lineRule="auto" w:line="360" w:before="0" w:after="0"/>
        <w:ind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14.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ab/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Frommhold H, Guttenbery R, Henkem. The impact of blood haemoglobin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content on the outcome of radiotherapy. The Freiburg experience.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Strathlenther Oncol 1998; 174 Suppl 4:31-4.</w:t>
      </w:r>
    </w:p>
    <w:p>
      <w:pPr>
        <w:numPr>
          <w:ilvl w:val="0"/>
          <w:numId w:val="0"/>
        </w:numPr>
        <w:jc w:val="both"/>
        <w:spacing w:lineRule="auto" w:line="360" w:before="0" w:after="0"/>
        <w:ind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15.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ab/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Dishe 5, Saunders MI, Warburton ME Haemoglobin radiation, morbidity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and survival. International Journal of Radiation oncology Biol Phys 1986;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>12:1325-1337.</w:t>
      </w: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6"/>
          <w:szCs w:val="6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16.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ab/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Warde P, 0’ Sullivian B, Bristow RG et al. “T1/T2 glottic cancer manaed by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external beam radiotherapy: The influence of Pre-treatment haemoglobin on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local control. mt Radiat Oncol Biol Phys (1998); 41:pp. 347-353.</w:t>
      </w:r>
    </w:p>
    <w:p>
      <w:pPr>
        <w:numPr>
          <w:ilvl w:val="0"/>
          <w:numId w:val="0"/>
        </w:numPr>
        <w:jc w:val="both"/>
        <w:spacing w:lineRule="auto" w:line="360" w:before="0" w:after="0"/>
        <w:ind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17.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ab/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Wilhelm R, Kovacs G, Heinrichsogn 0, et al. Survival of exclusive irradiated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patients with Non small cell lung cancer. Significance of pretherapeutic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haemoglobin level On Kiel Gennany). Strahlenther Oncol 1998; 74:128-132.</w:t>
      </w:r>
    </w:p>
    <w:p>
      <w:pPr>
        <w:numPr>
          <w:ilvl w:val="0"/>
          <w:numId w:val="0"/>
        </w:numPr>
        <w:jc w:val="both"/>
        <w:spacing w:lineRule="auto" w:line="360" w:before="0" w:after="0"/>
        <w:ind w:right="0" w:firstLine="0"/>
        <w:rPr>
          <w:position w:val="0"/>
          <w:sz w:val="6"/>
          <w:szCs w:val="6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18.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ab/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Hong A, Dische 5, Saunders MD et al. Lung function and radiation response.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British Journal of Radiology 1991; 64:1134-1139.</w:t>
      </w: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>19.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ab/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American Cancer Society. Cancer facts and figure 2008.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http://www.cancer.org. Accessed September 20, 2012.</w:t>
      </w: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20.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ab/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Kumar P, 2000. Tumour hypoxia and anaemia: Impact on the efficacy of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radiation therapy. Seminar in Haematology (Suppl 6); 37:4-8.</w:t>
      </w:r>
    </w:p>
    <w:p>
      <w:pPr>
        <w:numPr>
          <w:ilvl w:val="0"/>
          <w:numId w:val="0"/>
        </w:numPr>
        <w:jc w:val="both"/>
        <w:spacing w:lineRule="auto" w:line="360" w:before="0" w:after="0"/>
        <w:ind w:right="0" w:firstLine="0"/>
        <w:rPr>
          <w:position w:val="0"/>
          <w:sz w:val="6"/>
          <w:szCs w:val="6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21.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ab/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Overgaard J, Hansen HS, Anderson AP, et al. Misonidazole combined with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split course radiotherapy in the treatment of invasive carcinoma of the larynx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and pharynx. Report from the DAHANCA 2 study, Tnt Journal Radiat Oncol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Biol Phys (1989); l6:pp. 1065-1068.</w:t>
      </w: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22.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ab/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Bush RS. The significance of anaemia in clinical radiation therapy. Tnt J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Radiat Onco Bio Phys 1986; 12:2047-2050.</w:t>
      </w: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23.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ab/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Tarnawski R, Skladowski K, Maciejewski B, Prognostic value of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haemoglobin concentration in radiotherapy for cancer of supraglottic larynx.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International Journal of Radiation Oncology 1997; 38:1007-1011.</w:t>
      </w: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24.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ab/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Bohlius J, Langensiepen S, Schwarzer G, et al; Recombinant human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erythropoietin and overall survival in cancer patients: results of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comprehensive meta-analysis. J. Nati cancer institute 2005; 97:489-98.</w:t>
      </w:r>
    </w:p>
    <w:p>
      <w:pPr>
        <w:numPr>
          <w:ilvl w:val="0"/>
          <w:numId w:val="0"/>
        </w:numPr>
        <w:jc w:val="both"/>
        <w:spacing w:lineRule="auto" w:line="360" w:before="0" w:after="0"/>
        <w:ind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25.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ab/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Vaupel P, Kallimnowski F, Okunieff P. Blood flow, oxygen and nutrient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supply, and metabolic microenvironment of human tumour: A review cancer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Res 1989; 49:6449-64.</w:t>
      </w: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26.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ab/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Barret-Lee PJ, Bailey NP, O’Brien ME et al. Large Scale United Kingdom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audit of blood transfusion requirements and anaemia in patients receiving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cytoxic chemotherapy. British Journal of Cancer 2000; 82:93-97.</w:t>
      </w: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27.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ab/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Casinu S, Fedeli A, Del Ferro E, et al. Recombinant human erythropoietin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treatment in Cisplatin-associated anaemia: a randomized double-blind trial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with placebo. Journal Clinical Oncology 1994; 12:1058-1062.</w:t>
      </w:r>
    </w:p>
    <w:p>
      <w:pPr>
        <w:numPr>
          <w:ilvl w:val="0"/>
          <w:numId w:val="0"/>
        </w:numPr>
        <w:jc w:val="both"/>
        <w:spacing w:lineRule="auto" w:line="360" w:before="0" w:after="0"/>
        <w:ind w:right="0" w:firstLine="0"/>
        <w:rPr>
          <w:position w:val="0"/>
          <w:sz w:val="6"/>
          <w:szCs w:val="6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28.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ab/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Case DC Jr, Bukowski RM, Carey RW et al. Recombinant human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erythroietin therapy for anaemia cancer patients on combination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chemotherapy. Journal National Cancer Institute 1993; 85:801-806.</w:t>
      </w: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6"/>
          <w:szCs w:val="6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29.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ab/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Teicher BA, Holden SA, al-Achi A, et al. Classification of anti-neoplastic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treatments by thedifferential toxicity toward putative oxygenated and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hypoxic tumour subpopulations in vivo in FSGHC murine fibrosarcotha.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Cancer Res 1990; 50; 3339-3344.</w:t>
      </w: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30.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ab/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Daniel Santini, Bruno Vincenzi, Annalisa Navajas et al. A new Dose-Intense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epoietin Alfa Regimens Effective in Anaemia Cancer Patients Receiving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Chemotherapy: An open-label, Non Randomized pilot study. Anti Cancer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Research 2005; 25:669—674.</w:t>
      </w: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31.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ab/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Natacha Verbeke, Yves Beguin, Hans Wildiers, J.L Canon, Greet Bries,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Andre Bosly, Simon Van Belle. Hight prevalence of anaemia and limited use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of therapy in cancer patients: a Belgium Survey (Anaemia day 2008).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Support Care Cancer, 2012; 20:23 —28.</w:t>
      </w: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32.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ab/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S.A Laurie, K. Ding, M. Whitehead, R. Feid, N. Murray, F.A Shepherd and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L. Seymour. The impact of anaemia on outcome of chemoradiation for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limited small-cell lung cancer: a combined analysis of studies of the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National Cancer Institute of Canada Clinical 2007; 18:1051 — 1055.</w:t>
      </w:r>
    </w:p>
    <w:p>
      <w:pPr>
        <w:numPr>
          <w:ilvl w:val="0"/>
          <w:numId w:val="0"/>
        </w:numPr>
        <w:jc w:val="both"/>
        <w:spacing w:lineRule="auto" w:line="360" w:before="0" w:after="0"/>
        <w:ind w:right="0" w:firstLine="0"/>
        <w:rPr>
          <w:position w:val="0"/>
          <w:sz w:val="6"/>
          <w:szCs w:val="6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33.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ab/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Pilar M, Samper Ots, Julia Munoz, Albert Biete, Maria Jose Ortiz et al.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PITASOR Epidemiological study: Prevalence, incidence and treatment of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anaemia in radiation therapy oncology department in Spain. Clin Transl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Oncol 2011; 13:322-327.</w:t>
      </w: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34.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ab/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Laura Doni, Alessandra Penn, Luigi Manzione, Vittorio Gebbia, Rodoifo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Mattioli, Giovanni Battisa Speranza et al. The impact of anaemia on quality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of life and hospitalization in elderly cancer patients undergoing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chemotherapy. Critical Reviews in Oncology/Haematology 2011; 77:70-77.</w:t>
      </w: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>35.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ab/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Johan Vansteenkiste, Robert Pirker, Bartomeu Massuti, Fernando Barata,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Albert Font, Michael Fiegl, Salvatore Sirna et al. Double blind, placebo-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controlled, Randomized phase III trial of Darbepoietin alfa in lung cancer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patients. Journal of the National Cancer Institute 2002; vol. 94, No. 16.</w:t>
      </w:r>
    </w:p>
    <w:p>
      <w:pPr>
        <w:numPr>
          <w:ilvl w:val="0"/>
          <w:numId w:val="0"/>
        </w:numPr>
        <w:jc w:val="both"/>
        <w:spacing w:lineRule="auto" w:line="360" w:before="0" w:after="0"/>
        <w:ind w:right="0" w:firstLine="0"/>
        <w:rPr>
          <w:position w:val="0"/>
          <w:sz w:val="6"/>
          <w:szCs w:val="6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36.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ab/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Guardiola E, Morchhauser F, Zambrowski JJ, Antonie EC. Management of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anaemia in patients with cancer: Results of the F-FACT study (French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Anaemia Cancer Treatment). Bull Cancer 2007; 94:907 - 14.</w:t>
      </w:r>
    </w:p>
    <w:p>
      <w:pPr>
        <w:numPr>
          <w:ilvl w:val="0"/>
          <w:numId w:val="0"/>
        </w:numPr>
        <w:jc w:val="both"/>
        <w:spacing w:lineRule="auto" w:line="360" w:before="0" w:after="0"/>
        <w:ind w:right="0" w:firstLine="0"/>
        <w:rPr>
          <w:position w:val="0"/>
          <w:sz w:val="6"/>
          <w:szCs w:val="6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37.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ab/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Seshadri T., Prince HM, Beu DR, Coughlin PB, James PP, Richardson GE et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al. The Australian Cancer Anaemia Survey: A snapshot to anaemia in adult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patients with cancer. Med J Aust 2005; 182:453 70.</w:t>
      </w:r>
    </w:p>
    <w:p>
      <w:pPr>
        <w:numPr>
          <w:ilvl w:val="0"/>
          <w:numId w:val="0"/>
        </w:numPr>
        <w:jc w:val="both"/>
        <w:spacing w:lineRule="auto" w:line="360" w:before="0" w:after="0"/>
        <w:ind w:right="0" w:firstLine="0"/>
        <w:rPr>
          <w:position w:val="0"/>
          <w:sz w:val="6"/>
          <w:szCs w:val="6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38.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ab/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Jim Cassidy, Donard Bisset, Roy A.J. Spence and Miranda Payne. Oxford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Handbook of Oncology 2008 PP 388.</w:t>
      </w: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39.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ab/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Chem AY, Chou R, Shil SJ, Lau D, Gandara D, Enhancement of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radiotherapy with DNA Topoisomerase I-Targeted drugs. Crit Rev Oncol.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Haematol 2004; 50(2):1 11-119.</w:t>
      </w:r>
    </w:p>
    <w:p>
      <w:pPr>
        <w:numPr>
          <w:ilvl w:val="0"/>
          <w:numId w:val="0"/>
        </w:numPr>
        <w:jc w:val="both"/>
        <w:spacing w:lineRule="auto" w:line="360" w:before="0" w:after="0"/>
        <w:ind w:right="0" w:firstLine="0"/>
        <w:rPr>
          <w:position w:val="0"/>
          <w:sz w:val="6"/>
          <w:szCs w:val="6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40.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ab/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Overgaard M, Nielsen HM, Overgaard J. Is the benefit of post mastectomy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irradiation limited to patients without or more positive nodes, as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recommended in international consensus reports? A subgroup analysis of the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DBCG82b and C randomized trials. Radiother Oncol 2007;82:247 - 53.</w:t>
      </w:r>
    </w:p>
    <w:p>
      <w:pPr>
        <w:numPr>
          <w:ilvl w:val="0"/>
          <w:numId w:val="0"/>
        </w:numPr>
        <w:jc w:val="both"/>
        <w:spacing w:lineRule="auto" w:line="360" w:before="0" w:after="0"/>
        <w:ind w:right="0" w:firstLine="0"/>
        <w:rPr>
          <w:position w:val="0"/>
          <w:sz w:val="6"/>
          <w:szCs w:val="6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41.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ab/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Recht A, Edge SB, Solin U et al. Post-mastectomy radiotherapy: Clinical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practice guidelines of the American Society of Clinical Oncology. J Chin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Oncol 2001; 19:1539-69.</w:t>
      </w: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42.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ab/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Kaiser Jamic, Kalyani, Ramesh Perimi SV Kameshwari. Assessment of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severity of anaemia and its effect on the quality of life (Q o L) of patients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suffering with various types of neoplasia. Biology and Medicine 2009; vol.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1(3): 63 - 72.</w:t>
      </w: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43.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ab/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Harrison L, Shasha D, Shiaova L, White C, Ramdeen, Portenoy R.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Prevalence of anaemia in cancer patients undergoing radiation therapy.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Semin Oncol 2001; 28:54-9.</w:t>
      </w: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44.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ab/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Amit Bahl, D, N Sharma, Jothy Basu, G.K Rath, P.K Julka. Pretreatment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anaemia evaluation in cancer patients attending clinic: Results from a single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Indian centre. Indian J Med Sci, 2008; vol 62, No 10.</w:t>
      </w: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45.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ab/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Grogan M, Thomas GM, Melamed I. et al. The importance of haemoglobin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levels during radiotherapy for carunoma of the cervix 1999; 86:1528.</w:t>
      </w:r>
    </w:p>
    <w:p>
      <w:pPr>
        <w:numPr>
          <w:ilvl w:val="0"/>
          <w:numId w:val="0"/>
        </w:numPr>
        <w:jc w:val="both"/>
        <w:spacing w:lineRule="auto" w:line="360" w:before="0" w:after="0"/>
        <w:ind w:right="0" w:firstLine="0"/>
        <w:rPr>
          <w:position w:val="0"/>
          <w:sz w:val="6"/>
          <w:szCs w:val="6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46.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ab/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Daly T, Poulsen MG, Denhan JW et al. The effect of anaemia on efficacy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and normal tissue toxicity following radiotherapy for locally advanced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squamous cell carunoma of Head and Neck. Radiother Oncol 2003; 68:133 –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>122.</w:t>
      </w:r>
    </w:p>
    <w:p>
      <w:pPr>
        <w:numPr>
          <w:ilvl w:val="0"/>
          <w:numId w:val="0"/>
        </w:numPr>
        <w:jc w:val="both"/>
        <w:spacing w:lineRule="auto" w:line="360" w:before="0" w:after="0"/>
        <w:ind w:right="0" w:firstLine="0"/>
        <w:rPr>
          <w:position w:val="0"/>
          <w:sz w:val="6"/>
          <w:szCs w:val="6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47.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ab/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Dunst J, Kuhnt T, Strauss HG et al. Anaemia in cervical cancers: Impact on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survival, patterns of relapse and association with hypoxia and angiogenesis.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Int J Radiat Oncol Biol Phys 2003; 56:778 - 787.</w:t>
      </w: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6"/>
          <w:szCs w:val="6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48.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ab/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Lee WR, Barkcy B, Marcial V. et al. Anaemia is associated with decreased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survival and increased locoregional failure in patients with locally advanced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head and neck carcinoma. A secondary analyses of RTOG 85 - 27. mt J</w:t>
      </w:r>
    </w:p>
    <w:p>
      <w:pPr>
        <w:numPr>
          <w:ilvl w:val="0"/>
          <w:numId w:val="0"/>
        </w:numPr>
        <w:jc w:val="both"/>
        <w:spacing w:lineRule="auto" w:line="360" w:before="0" w:after="0"/>
        <w:ind w:right="0" w:firstLine="72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Radiat Oncol Biol Phys 1998; 42:1069 - 1075.</w:t>
      </w: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49.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ab/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Lanyendijk H, de Jong J, Wanders R, et al. The importance of pre-treatment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haemoglobin level in inoperable non-small cell lung carcinoma treated with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radical radiotherapy. Radiother Oncol 2003; 67:321 -325.</w:t>
      </w:r>
    </w:p>
    <w:p>
      <w:pPr>
        <w:numPr>
          <w:ilvl w:val="0"/>
          <w:numId w:val="0"/>
        </w:numPr>
        <w:jc w:val="both"/>
        <w:spacing w:lineRule="auto" w:line="360" w:before="0" w:after="0"/>
        <w:ind w:right="0" w:firstLine="0"/>
        <w:rPr>
          <w:position w:val="0"/>
          <w:sz w:val="6"/>
          <w:szCs w:val="6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50.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ab/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Thomas G. The effect of haemoglobin level on radiotherapy outcomes: the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Canadian experience. Semin Oncol 2001; 28 (suppl 8): 60 - 65.</w:t>
      </w: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51.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ab/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Kosmidis P. &amp; Krzakowski M. Anaemia profile in patients with lung cancer.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What have we learned from the European Cancer Anaemia Survey (ECAS)?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Lung Cancer, 2005; 50(3) 401 - 412.</w:t>
      </w: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>52.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ab/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Langendijk H, de Jong J, Wanders R, et al. The importance of pre-treatment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haemoglobin level in inoperable non-small cell lung carcinoma treated with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radical radiotherapy. Radiother Oncol 2003; 67: 321 – 325.</w:t>
      </w: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>53.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ab/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Kapp KS, Poschauko J, Geyer E, et al. Evaluation of the effect of routine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packed cell blood cell transfusion in anaemia cervix cancer patients treated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with radical radiotherapy. Int J Radiat Oncol Biol Phys. 2002; 54: 58 – 66.</w:t>
      </w:r>
    </w:p>
    <w:p>
      <w:pPr>
        <w:numPr>
          <w:ilvl w:val="0"/>
          <w:numId w:val="0"/>
        </w:numPr>
        <w:jc w:val="both"/>
        <w:spacing w:lineRule="auto" w:line="360" w:before="0" w:after="0"/>
        <w:ind w:right="0" w:left="720" w:hanging="72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>54.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ab/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Dubray B, Mosseri V, Brunin F, et al. Anaemia is associated with lower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local-regional control and survival after radiation therapy for head and neck </w:t>
      </w: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cancer: A prospective study. Radiology 1996; 201:553-558.</w:t>
      </w: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0"/>
        <w:ind w:left="720" w:right="0" w:firstLine="0"/>
        <w:rPr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position w:val="0"/>
          <w:sz w:val="28"/>
          <w:szCs w:val="28"/>
          <w:rFonts w:ascii="Times New Roman" w:eastAsia="Times New Roman" w:hAnsi="Times New Roman" w:hint="default"/>
        </w:rPr>
        <w:t xml:space="preserve">  </w:t>
      </w:r>
    </w:p>
    <w:sectPr>
      <w:pgSz w:w="12240" w:h="15840"/>
      <w:pgMar w:top="1440" w:left="1440" w:bottom="1440" w:right="1440" w:footer="432" w:gutter="0"/>
      <w:pgNumType w:fmt="decimal" w:start="1"/>
      <w:docGrid w:type="default" w:linePitch="360" w:charSiz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anumGothic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Wingdings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Times New Roman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Courier New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Symbol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Calibri">
    <w:panose1 w:val="020F0502020204030204"/>
    <w:charset w:val="0"/>
    <w:family w:val="mordern"/>
    <w:pitch w:val="variable"/>
    <w:sig w:usb0="A00002EF" w:usb1="4000207B" w:usb2="00000000" w:usb3="00000000" w:csb0="FFFFFFFF" w:csb1="00000000"/>
  </w:font>
</w:fonts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>
  <w:p>
    <w:pPr>
      <w:pStyle w:val="PO157"/>
      <w:numPr>
        <w:ilvl w:val="0"/>
        <w:numId w:val="0"/>
      </w:numPr>
      <w:jc w:val="center"/>
      <w:spacing w:lineRule="auto" w:line="240" w:before="0" w:after="0"/>
      <w:ind w:right="0" w:firstLine="0"/>
      <w:tabs>
        <w:tab w:val="center" w:pos="4680"/>
        <w:tab w:val="right" w:pos="9360"/>
      </w:tabs>
      <w:rPr>
        <w:position w:val="0"/>
        <w:sz w:val="22"/>
        <w:szCs w:val="22"/>
        <w:rFonts w:ascii="Calibri" w:eastAsia="Calibri" w:hAnsi="Calibri" w:hint="default"/>
      </w:rPr>
    </w:pPr>
    <w:r>
      <w:fldChar w:fldCharType="begin"/>
    </w:r>
    <w:r>
      <w:instrText>PAGE  \* MERGEFORMAT</w:instrText>
    </w:r>
    <w:r>
      <w:fldChar w:fldCharType="separate"/>
    </w:r>
    <w:r>
      <w:rPr>
        <w:position w:val="0"/>
        <w:sz w:val="22"/>
        <w:szCs w:val="22"/>
        <w:rFonts w:ascii="Calibri" w:eastAsia="Calibri" w:hAnsi="Calibri" w:hint="default"/>
      </w:rPr>
      <w:t>ii</w:t>
    </w:r>
    <w:r>
      <w:fldChar w:fldCharType="end"/>
    </w:r>
  </w:p>
  <w:p>
    <w:pPr>
      <w:pStyle w:val="PO157"/>
      <w:numPr>
        <w:ilvl w:val="0"/>
        <w:numId w:val="0"/>
      </w:numPr>
      <w:jc w:val="left"/>
      <w:spacing w:lineRule="auto" w:line="240" w:before="0" w:after="0"/>
      <w:ind w:right="0" w:firstLine="0"/>
      <w:tabs>
        <w:tab w:val="center" w:pos="4680"/>
        <w:tab w:val="right" w:pos="9360"/>
      </w:tabs>
      <w:rPr>
        <w:position w:val="0"/>
        <w:sz w:val="22"/>
        <w:szCs w:val="22"/>
        <w:rFonts w:ascii="Calibri" w:eastAsia="Calibri" w:hAnsi="Calibri" w:hint="default"/>
      </w:rPr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>
  <w:abstractNum w:abstractNumId="0">
    <w:multiLevelType w:val="hybridMultilevel"/>
    <w:nsid w:val="000000"/>
    <w:tmpl w:val="738C9E45"/>
    <w:lvl w:ilvl="0">
      <w:lvlJc w:val="left"/>
      <w:numFmt w:val="decimal"/>
      <w:start w:val="1"/>
      <w:suff w:val="tab"/>
      <w:pPr>
        <w:ind w:left="720" w:hanging="360"/>
      </w:pPr>
      <w:rPr>
        <w:b w:val="0"/>
        <w:shd w:val="clear"/>
        <w:sz w:val="28"/>
        <w:szCs w:val="28"/>
        <w:w w:val="100"/>
      </w:rPr>
      <w:lvlText w:val="%1-"/>
    </w:lvl>
    <w:lvl w:ilvl="1">
      <w:lvlJc w:val="left"/>
      <w:numFmt w:val="lowerLetter"/>
      <w:start w:val="1"/>
      <w:suff w:val="tab"/>
      <w:pPr>
        <w:ind w:left="1440" w:hanging="360"/>
      </w:pPr>
      <w:lvlText w:val="%2."/>
    </w:lvl>
    <w:lvl w:ilvl="2">
      <w:lvlJc w:val="right"/>
      <w:numFmt w:val="lowerRoman"/>
      <w:start w:val="1"/>
      <w:suff w:val="tab"/>
      <w:pPr>
        <w:ind w:left="2160" w:hanging="180"/>
      </w:pPr>
      <w:lvlText w:val="%3."/>
    </w:lvl>
    <w:lvl w:ilvl="3">
      <w:lvlJc w:val="left"/>
      <w:numFmt w:val="decimal"/>
      <w:start w:val="1"/>
      <w:suff w:val="tab"/>
      <w:pPr>
        <w:ind w:left="2880" w:hanging="360"/>
      </w:pPr>
      <w:lvlText w:val="%4."/>
    </w:lvl>
    <w:lvl w:ilvl="4">
      <w:lvlJc w:val="left"/>
      <w:numFmt w:val="lowerLetter"/>
      <w:start w:val="1"/>
      <w:suff w:val="tab"/>
      <w:pPr>
        <w:ind w:left="3600" w:hanging="360"/>
      </w:pPr>
      <w:lvlText w:val="%5."/>
    </w:lvl>
    <w:lvl w:ilvl="5">
      <w:lvlJc w:val="right"/>
      <w:numFmt w:val="lowerRoman"/>
      <w:start w:val="1"/>
      <w:suff w:val="tab"/>
      <w:pPr>
        <w:ind w:left="4320" w:hanging="180"/>
      </w:pPr>
      <w:lvlText w:val="%6."/>
    </w:lvl>
    <w:lvl w:ilvl="6">
      <w:lvlJc w:val="left"/>
      <w:numFmt w:val="decimal"/>
      <w:start w:val="1"/>
      <w:suff w:val="tab"/>
      <w:pPr>
        <w:ind w:left="5040" w:hanging="360"/>
      </w:pPr>
      <w:lvlText w:val="%7."/>
    </w:lvl>
    <w:lvl w:ilvl="7">
      <w:lvlJc w:val="left"/>
      <w:numFmt w:val="lowerLetter"/>
      <w:start w:val="1"/>
      <w:suff w:val="tab"/>
      <w:pPr>
        <w:ind w:left="5760" w:hanging="360"/>
      </w:pPr>
      <w:lvlText w:val="%8."/>
    </w:lvl>
    <w:lvl w:ilvl="8">
      <w:lvlJc w:val="right"/>
      <w:numFmt w:val="lowerRoman"/>
      <w:start w:val="1"/>
      <w:suff w:val="tab"/>
      <w:pPr>
        <w:ind w:left="6480" w:hanging="180"/>
      </w:pPr>
      <w:lvlText w:val="%9."/>
    </w:lvl>
  </w:abstractNum>
  <w:abstractNum w:abstractNumId="1">
    <w:multiLevelType w:val="hybridMultilevel"/>
    <w:nsid w:val="000001"/>
    <w:tmpl w:val="16F94B0E"/>
    <w:lvl w:ilvl="0">
      <w:lvlJc w:val="left"/>
      <w:numFmt w:val="bullet"/>
      <w:start w:val="10"/>
      <w:suff w:val="tab"/>
      <w:pPr>
        <w:ind w:left="1080" w:hanging="360"/>
      </w:pPr>
      <w:rPr>
        <w:rFonts w:ascii="Times New Roman" w:eastAsia="Times New Roman" w:hAnsi="Times New Roman"/>
        <w:shd w:val="clear"/>
        <w:sz w:val="20"/>
        <w:szCs w:val="20"/>
        <w:w w:val="100"/>
      </w:rPr>
      <w:lvlText w:val="-"/>
    </w:lvl>
    <w:lvl w:ilvl="1">
      <w:lvlJc w:val="left"/>
      <w:numFmt w:val="bullet"/>
      <w:start w:val="1"/>
      <w:suff w:val="tab"/>
      <w:pPr>
        <w:ind w:left="1800" w:hanging="360"/>
      </w:pPr>
      <w:rPr>
        <w:rFonts w:ascii="Courier New" w:eastAsia="Courier New" w:hAnsi="Courier New"/>
        <w:shd w:val="clear"/>
        <w:sz w:val="20"/>
        <w:szCs w:val="20"/>
        <w:w w:val="100"/>
      </w:rPr>
      <w:lvlText w:val="o"/>
    </w:lvl>
    <w:lvl w:ilvl="2">
      <w:lvlJc w:val="left"/>
      <w:numFmt w:val="bullet"/>
      <w:start w:val="1"/>
      <w:suff w:val="tab"/>
      <w:pPr>
        <w:ind w:left="2520" w:hanging="360"/>
      </w:pPr>
      <w:rPr>
        <w:rFonts w:ascii="Wingdings" w:eastAsia="Wingdings" w:hAnsi="Wingdings"/>
        <w:shd w:val="clear"/>
        <w:sz w:val="20"/>
        <w:szCs w:val="20"/>
        <w:w w:val="100"/>
      </w:rPr>
      <w:lvlText w:val="§"/>
    </w:lvl>
    <w:lvl w:ilvl="3">
      <w:lvlJc w:val="left"/>
      <w:numFmt w:val="bullet"/>
      <w:start w:val="1"/>
      <w:suff w:val="tab"/>
      <w:pPr>
        <w:ind w:left="3240" w:hanging="360"/>
      </w:pPr>
      <w:rPr>
        <w:rFonts w:ascii="Symbol" w:eastAsia="Symbol" w:hAnsi="Symbol"/>
        <w:shd w:val="clear"/>
        <w:sz w:val="20"/>
        <w:szCs w:val="20"/>
        <w:w w:val="100"/>
      </w:rPr>
      <w:lvlText w:val="·"/>
    </w:lvl>
    <w:lvl w:ilvl="4">
      <w:lvlJc w:val="left"/>
      <w:numFmt w:val="bullet"/>
      <w:start w:val="1"/>
      <w:suff w:val="tab"/>
      <w:pPr>
        <w:ind w:left="3960" w:hanging="360"/>
      </w:pPr>
      <w:rPr>
        <w:rFonts w:ascii="Courier New" w:eastAsia="Courier New" w:hAnsi="Courier New"/>
        <w:shd w:val="clear"/>
        <w:sz w:val="20"/>
        <w:szCs w:val="20"/>
        <w:w w:val="100"/>
      </w:rPr>
      <w:lvlText w:val="o"/>
    </w:lvl>
    <w:lvl w:ilvl="5">
      <w:lvlJc w:val="left"/>
      <w:numFmt w:val="bullet"/>
      <w:start w:val="1"/>
      <w:suff w:val="tab"/>
      <w:pPr>
        <w:ind w:left="4680" w:hanging="360"/>
      </w:pPr>
      <w:rPr>
        <w:rFonts w:ascii="Wingdings" w:eastAsia="Wingdings" w:hAnsi="Wingdings"/>
        <w:shd w:val="clear"/>
        <w:sz w:val="20"/>
        <w:szCs w:val="20"/>
        <w:w w:val="100"/>
      </w:rPr>
      <w:lvlText w:val="§"/>
    </w:lvl>
    <w:lvl w:ilvl="6">
      <w:lvlJc w:val="left"/>
      <w:numFmt w:val="bullet"/>
      <w:start w:val="1"/>
      <w:suff w:val="tab"/>
      <w:pPr>
        <w:ind w:left="5400" w:hanging="360"/>
      </w:pPr>
      <w:rPr>
        <w:rFonts w:ascii="Symbol" w:eastAsia="Symbol" w:hAnsi="Symbol"/>
        <w:shd w:val="clear"/>
        <w:sz w:val="20"/>
        <w:szCs w:val="20"/>
        <w:w w:val="100"/>
      </w:rPr>
      <w:lvlText w:val="·"/>
    </w:lvl>
    <w:lvl w:ilvl="7">
      <w:lvlJc w:val="left"/>
      <w:numFmt w:val="bullet"/>
      <w:start w:val="1"/>
      <w:suff w:val="tab"/>
      <w:pPr>
        <w:ind w:left="6120" w:hanging="360"/>
      </w:pPr>
      <w:rPr>
        <w:rFonts w:ascii="Courier New" w:eastAsia="Courier New" w:hAnsi="Courier New"/>
        <w:shd w:val="clear"/>
        <w:sz w:val="20"/>
        <w:szCs w:val="20"/>
        <w:w w:val="100"/>
      </w:rPr>
      <w:lvlText w:val="o"/>
    </w:lvl>
    <w:lvl w:ilvl="8">
      <w:lvlJc w:val="left"/>
      <w:numFmt w:val="bullet"/>
      <w:start w:val="1"/>
      <w:suff w:val="tab"/>
      <w:pPr>
        <w:ind w:left="6840" w:hanging="360"/>
      </w:pPr>
      <w:rPr>
        <w:rFonts w:ascii="Wingdings" w:eastAsia="Wingdings" w:hAnsi="Wingdings"/>
        <w:shd w:val="clear"/>
        <w:sz w:val="20"/>
        <w:szCs w:val="20"/>
        <w:w w:val="100"/>
      </w:rPr>
      <w:lvlText w:val="§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isplayHorizontalDrawingGridEvery w:val="0"/>
  <w:displayVerticalDrawingGridEvery w:val="2"/>
  <w:noPunctuationKerning/>
  <w:characterSpacingControl w:val="doNotCompress"/>
  <w:bordersDoNotSurroundHeader/>
  <w:compat w:val="0">
    <w:doNotExpandShiftReturn/>
    <w:useFELayout/>
    <w:compatSetting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pPrDefault>
      <w:pPr>
        <w:autoSpaceDE w:val="1"/>
        <w:autoSpaceDN w:val="1"/>
        <w:widowControl/>
        <w:wordWrap/>
      </w:pPr>
    </w:pPrDefault>
    <w:rPrDefault>
      <w:rPr>
        <w:rFonts w:ascii="Calibri" w:eastAsia="Calibri" w:hAnsi="Calibri"/>
        <w:shd w:val="clear"/>
        <w:sz w:val="22"/>
        <w:szCs w:val="22"/>
        <w:w w:val="100"/>
      </w:rPr>
    </w:rPrDefault>
  </w:docDefaults>
  <w:style w:default="1" w:styleId="PO1" w:type="paragraph">
    <w:name w:val="Normal"/>
    <w:qFormat/>
    <w:uiPriority w:val="1"/>
  </w:style>
  <w:style w:default="1" w:styleId="PO2" w:type="character">
    <w:name w:val="Default Paragraph Font"/>
    <w:uiPriority w:val="2"/>
    <w:semiHidden/>
    <w:unhideWhenUsed/>
  </w:style>
  <w:style w:default="1" w:styleId="PO3" w:type="table">
    <w:name w:val="Normal Table"/>
    <w:qFormat/>
    <w:uiPriority w:val="3"/>
    <w:semiHidden/>
    <w:unhideWhenUsed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default="1" w:styleId="PO4" w:type="numbering">
    <w:name w:val="No List"/>
    <w:uiPriority w:val="4"/>
    <w:semiHidden/>
    <w:unhideWhenUsed/>
  </w:style>
  <w:style w:styleId="PO26" w:type="paragraph">
    <w:name w:val="List Paragraph"/>
    <w:basedOn w:val="PO1"/>
    <w:qFormat/>
    <w:uiPriority w:val="26"/>
    <w:pPr>
      <w:autoSpaceDE w:val="1"/>
      <w:autoSpaceDN w:val="1"/>
      <w:spacing/>
      <w:ind w:left="720" w:firstLine="0"/>
      <w:widowControl/>
      <w:wordWrap/>
    </w:pPr>
  </w:style>
  <w:style w:styleId="PO37" w:type="table">
    <w:name w:val="Table Grid"/>
    <w:basedOn w:val="PO3"/>
    <w:uiPriority w:val="37"/>
    <w:pPr>
      <w:autoSpaceDE w:val="1"/>
      <w:autoSpaceDN w:val="1"/>
      <w:widowControl/>
      <w:wordWrap/>
    </w:pPr>
    <w:tblPr>
      <w:tblBorders>
        <w:bottom w:val="single" w:color="auto" w:sz="4"/>
        <w:insideH w:val="single" w:color="auto" w:sz="4"/>
        <w:insideV w:val="single" w:color="auto" w:sz="4"/>
        <w:left w:val="single" w:color="auto" w:sz="4"/>
        <w:right w:val="single" w:color="auto" w:sz="4"/>
        <w:top w:val="single" w:color="auto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styleId="PO151" w:type="character">
    <w:name w:val="Hyperlink"/>
    <w:basedOn w:val="PO2"/>
    <w:uiPriority w:val="151"/>
    <w:unhideWhenUsed/>
    <w:rPr>
      <w:color w:val="0563C1" w:themeColor="hyperlink"/>
      <w:shd w:val="clear"/>
      <w:sz w:val="20"/>
      <w:szCs w:val="20"/>
      <w:u w:val="single"/>
      <w:w w:val="100"/>
    </w:rPr>
  </w:style>
  <w:style w:styleId="PO152" w:type="paragraph">
    <w:name w:val="endnote text"/>
    <w:basedOn w:val="PO1"/>
    <w:link w:val="PO153"/>
    <w:uiPriority w:val="152"/>
    <w:semiHidden/>
    <w:unhideWhenUsed/>
    <w:pPr>
      <w:autoSpaceDE w:val="1"/>
      <w:autoSpaceDN w:val="1"/>
      <w:widowControl/>
      <w:wordWrap/>
    </w:pPr>
    <w:rPr>
      <w:shd w:val="clear"/>
      <w:sz w:val="20"/>
      <w:szCs w:val="20"/>
      <w:w w:val="100"/>
    </w:rPr>
  </w:style>
  <w:style w:customStyle="1" w:styleId="PO153" w:type="character">
    <w:name w:val="Endnote Text Char"/>
    <w:basedOn w:val="PO2"/>
    <w:link w:val="PO152"/>
    <w:uiPriority w:val="153"/>
    <w:semiHidden/>
    <w:rPr>
      <w:shd w:val="clear"/>
      <w:sz w:val="20"/>
      <w:szCs w:val="20"/>
      <w:w w:val="100"/>
    </w:rPr>
  </w:style>
  <w:style w:styleId="PO154" w:type="character">
    <w:name w:val="endnote reference"/>
    <w:basedOn w:val="PO2"/>
    <w:uiPriority w:val="154"/>
    <w:semiHidden/>
    <w:unhideWhenUsed/>
    <w:rPr>
      <w:shd w:val="clear"/>
      <w:sz w:val="20"/>
      <w:szCs w:val="20"/>
      <w:vertAlign w:val="superscript"/>
      <w:w w:val="100"/>
    </w:rPr>
  </w:style>
  <w:style w:styleId="PO155" w:type="paragraph">
    <w:name w:val="header"/>
    <w:basedOn w:val="PO1"/>
    <w:link w:val="PO156"/>
    <w:uiPriority w:val="155"/>
    <w:unhideWhenUsed/>
    <w:pPr>
      <w:autoSpaceDE w:val="1"/>
      <w:autoSpaceDN w:val="1"/>
      <w:tabs>
        <w:tab w:val="center" w:pos="4680"/>
        <w:tab w:val="right" w:pos="9360"/>
      </w:tabs>
      <w:widowControl/>
      <w:wordWrap/>
    </w:pPr>
  </w:style>
  <w:style w:customStyle="1" w:styleId="PO156" w:type="character">
    <w:name w:val="Header Char"/>
    <w:basedOn w:val="PO2"/>
    <w:link w:val="PO155"/>
    <w:uiPriority w:val="156"/>
  </w:style>
  <w:style w:styleId="PO157" w:type="paragraph">
    <w:name w:val="footer"/>
    <w:basedOn w:val="PO1"/>
    <w:link w:val="PO158"/>
    <w:uiPriority w:val="157"/>
    <w:unhideWhenUsed/>
    <w:pPr>
      <w:autoSpaceDE w:val="1"/>
      <w:autoSpaceDN w:val="1"/>
      <w:tabs>
        <w:tab w:val="center" w:pos="4680"/>
        <w:tab w:val="right" w:pos="9360"/>
      </w:tabs>
      <w:widowControl/>
      <w:wordWrap/>
    </w:pPr>
  </w:style>
  <w:style w:customStyle="1" w:styleId="PO158" w:type="character">
    <w:name w:val="Footer Char"/>
    <w:basedOn w:val="PO2"/>
    <w:link w:val="PO157"/>
    <w:uiPriority w:val="1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Relationship Id="rId5" Type="http://schemas.openxmlformats.org/officeDocument/2006/relationships/hyperlink" Target="mailto:aruasimeonedu@yahoo.com" TargetMode="External"></Relationship><Relationship Id="rId6" Type="http://schemas.openxmlformats.org/officeDocument/2006/relationships/footer" Target="footer2.xml"></Relationship><Relationship Id="rId7" Type="http://schemas.openxmlformats.org/officeDocument/2006/relationships/numbering" Target="numbering.xml"></Relationship><Relationship Id="rId8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12.000</AppVersion>
  <Characters>44757</Characters>
  <CharactersWithSpaces>0</CharactersWithSpaces>
  <Company>Hewlett-Packard</Company>
  <DocSecurity>0</DocSecurity>
  <HyperlinksChanged>false</HyperlinksChanged>
  <Lines>317</Lines>
  <LinksUpToDate>false</LinksUpToDate>
  <Pages>37</Pages>
  <Paragraphs>89</Paragraphs>
  <Words>6693</Words>
  <TotalTime>0</TotalTime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BLESSING GYANG</dc:creator>
  <cp:lastModifiedBy>aruasimeonedu</cp:lastModifiedBy>
  <dcterms:modified xsi:type="dcterms:W3CDTF">2016-03-15T08:18:00Z</dcterms:modified>
</cp:coreProperties>
</file>