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16" w:rsidRPr="00AD4F16" w:rsidRDefault="00AD4F16" w:rsidP="00AD4F16">
      <w:pPr>
        <w:ind w:right="-109"/>
        <w:jc w:val="center"/>
        <w:rPr>
          <w:rFonts w:ascii="Bookman Old Style" w:hAnsi="Bookman Old Style" w:hint="cs"/>
          <w:b/>
          <w:bCs/>
          <w:caps/>
          <w:rtl/>
          <w:lang w:bidi="ar-EG"/>
        </w:rPr>
      </w:pPr>
      <w:r w:rsidRPr="00AD4F16">
        <w:rPr>
          <w:rFonts w:ascii="Bookman Old Style" w:hAnsi="Bookman Old Style"/>
          <w:b/>
          <w:bCs/>
          <w:caps/>
        </w:rPr>
        <w:t>Role of pET/CT in Initial staging and follow-up of soft tissue and osseous sarcomas</w:t>
      </w:r>
    </w:p>
    <w:p w:rsidR="00AD4F16" w:rsidRPr="00AD4F16" w:rsidRDefault="00AD4F16" w:rsidP="005314E3">
      <w:pPr>
        <w:bidi w:val="0"/>
        <w:spacing w:line="240" w:lineRule="auto"/>
        <w:jc w:val="both"/>
        <w:rPr>
          <w:rFonts w:ascii="AdvTimes" w:eastAsia="Calibri" w:hAnsi="Calibri" w:cs="AdvTimes"/>
          <w:sz w:val="17"/>
          <w:szCs w:val="17"/>
        </w:rPr>
      </w:pPr>
      <w:r w:rsidRPr="00AD4F16">
        <w:rPr>
          <w:rFonts w:ascii="AdvTimes" w:eastAsia="Calibri" w:hAnsi="Calibri" w:cs="AdvTimes"/>
          <w:sz w:val="17"/>
          <w:szCs w:val="17"/>
        </w:rPr>
        <w:t xml:space="preserve">Dr. </w:t>
      </w:r>
      <w:proofErr w:type="spellStart"/>
      <w:r w:rsidRPr="00AD4F16">
        <w:rPr>
          <w:rFonts w:ascii="AdvTimes" w:eastAsia="Calibri" w:hAnsi="Calibri" w:cs="AdvTimes"/>
          <w:sz w:val="17"/>
          <w:szCs w:val="17"/>
        </w:rPr>
        <w:t>Heba</w:t>
      </w:r>
      <w:proofErr w:type="spellEnd"/>
      <w:r w:rsidRPr="00AD4F16">
        <w:rPr>
          <w:rFonts w:ascii="AdvTimes" w:eastAsia="Calibri" w:hAnsi="Calibri" w:cs="AdvTimes"/>
          <w:sz w:val="17"/>
          <w:szCs w:val="17"/>
        </w:rPr>
        <w:t xml:space="preserve"> </w:t>
      </w:r>
      <w:proofErr w:type="spellStart"/>
      <w:r w:rsidRPr="00AD4F16">
        <w:rPr>
          <w:rFonts w:ascii="AdvTimes" w:eastAsia="Calibri" w:hAnsi="Calibri" w:cs="AdvTimes"/>
          <w:sz w:val="17"/>
          <w:szCs w:val="17"/>
        </w:rPr>
        <w:t>Kamal</w:t>
      </w:r>
      <w:proofErr w:type="spellEnd"/>
      <w:r w:rsidRPr="00AD4F16">
        <w:rPr>
          <w:rFonts w:ascii="AdvTimes" w:eastAsia="Calibri" w:hAnsi="Calibri" w:cs="AdvTimes"/>
          <w:sz w:val="17"/>
          <w:szCs w:val="17"/>
        </w:rPr>
        <w:t xml:space="preserve"> Ali, </w:t>
      </w:r>
      <w:r>
        <w:rPr>
          <w:rFonts w:ascii="AdvTimes" w:eastAsia="Calibri" w:hAnsi="Calibri" w:cs="AdvTimes"/>
          <w:sz w:val="17"/>
          <w:szCs w:val="17"/>
        </w:rPr>
        <w:t>M</w:t>
      </w:r>
      <w:r w:rsidRPr="00AD4F16">
        <w:rPr>
          <w:rFonts w:ascii="AdvTimes" w:eastAsia="Calibri" w:hAnsi="Calibri" w:cs="AdvTimes"/>
          <w:sz w:val="17"/>
          <w:szCs w:val="17"/>
        </w:rPr>
        <w:t>D</w:t>
      </w:r>
      <w:r>
        <w:rPr>
          <w:rFonts w:ascii="AdvTimes" w:eastAsia="Calibri" w:hAnsi="Calibri" w:cs="AdvTimes"/>
          <w:sz w:val="17"/>
          <w:szCs w:val="17"/>
        </w:rPr>
        <w:t xml:space="preserve">, </w:t>
      </w:r>
      <w:r w:rsidRPr="00AD4F16">
        <w:rPr>
          <w:rFonts w:ascii="AdvTimes" w:eastAsia="Calibri" w:hAnsi="Calibri" w:cs="AdvTimes"/>
          <w:sz w:val="17"/>
          <w:szCs w:val="17"/>
        </w:rPr>
        <w:t xml:space="preserve">Lecturer of </w:t>
      </w:r>
      <w:proofErr w:type="spellStart"/>
      <w:r w:rsidRPr="00AD4F16">
        <w:rPr>
          <w:rFonts w:ascii="AdvTimes" w:eastAsia="Calibri" w:hAnsi="Calibri" w:cs="AdvTimes"/>
          <w:sz w:val="17"/>
          <w:szCs w:val="17"/>
        </w:rPr>
        <w:t>radiodiagnosis</w:t>
      </w:r>
      <w:proofErr w:type="spellEnd"/>
      <w:r>
        <w:rPr>
          <w:rFonts w:ascii="AdvTimes" w:eastAsia="Calibri" w:hAnsi="Calibri" w:cs="AdvTimes"/>
          <w:sz w:val="17"/>
          <w:szCs w:val="17"/>
          <w:lang w:bidi="ar-EG"/>
        </w:rPr>
        <w:t xml:space="preserve"> </w:t>
      </w:r>
      <w:r w:rsidRPr="00AD4F16">
        <w:rPr>
          <w:rFonts w:ascii="AdvTimes" w:eastAsia="Calibri" w:hAnsi="Calibri" w:cs="AdvTimes"/>
          <w:sz w:val="17"/>
          <w:szCs w:val="17"/>
        </w:rPr>
        <w:t>Faculty of medicine</w:t>
      </w:r>
      <w:r>
        <w:rPr>
          <w:rFonts w:eastAsia="Calibri" w:cs="AdvTimes"/>
          <w:sz w:val="17"/>
          <w:szCs w:val="17"/>
        </w:rPr>
        <w:t xml:space="preserve"> </w:t>
      </w:r>
      <w:r w:rsidRPr="00AD4F16">
        <w:rPr>
          <w:rFonts w:ascii="AdvTimes" w:eastAsia="Calibri" w:hAnsi="Calibri" w:cs="AdvTimes"/>
          <w:sz w:val="17"/>
          <w:szCs w:val="17"/>
        </w:rPr>
        <w:t>Cairo University</w:t>
      </w:r>
    </w:p>
    <w:p w:rsidR="00AD4F16" w:rsidRPr="00CB3CF6" w:rsidRDefault="00AD4F16" w:rsidP="005314E3">
      <w:pPr>
        <w:bidi w:val="0"/>
        <w:spacing w:line="240" w:lineRule="auto"/>
        <w:jc w:val="both"/>
        <w:rPr>
          <w:rFonts w:ascii="Bookman Old Style" w:hAnsi="Bookman Old Style"/>
          <w:sz w:val="30"/>
          <w:szCs w:val="30"/>
        </w:rPr>
      </w:pPr>
      <w:r w:rsidRPr="00AD4F16">
        <w:rPr>
          <w:rFonts w:ascii="AdvTimes" w:eastAsia="Calibri" w:hAnsi="Calibri" w:cs="AdvTimes"/>
          <w:sz w:val="17"/>
          <w:szCs w:val="17"/>
        </w:rPr>
        <w:t xml:space="preserve">Dr. </w:t>
      </w:r>
      <w:proofErr w:type="spellStart"/>
      <w:r w:rsidRPr="00AD4F16">
        <w:rPr>
          <w:rFonts w:ascii="AdvTimes" w:eastAsia="Calibri" w:hAnsi="Calibri" w:cs="AdvTimes"/>
          <w:sz w:val="17"/>
          <w:szCs w:val="17"/>
        </w:rPr>
        <w:t>Manar</w:t>
      </w:r>
      <w:proofErr w:type="spellEnd"/>
      <w:r w:rsidRPr="00AD4F16">
        <w:rPr>
          <w:rFonts w:ascii="AdvTimes" w:eastAsia="Calibri" w:hAnsi="Calibri" w:cs="AdvTimes"/>
          <w:sz w:val="17"/>
          <w:szCs w:val="17"/>
        </w:rPr>
        <w:t xml:space="preserve"> Hussein Abdel </w:t>
      </w:r>
      <w:proofErr w:type="spellStart"/>
      <w:r w:rsidRPr="00AD4F16">
        <w:rPr>
          <w:rFonts w:ascii="AdvTimes" w:eastAsia="Calibri" w:hAnsi="Calibri" w:cs="AdvTimes"/>
          <w:sz w:val="17"/>
          <w:szCs w:val="17"/>
        </w:rPr>
        <w:t>Sattar</w:t>
      </w:r>
      <w:proofErr w:type="spellEnd"/>
      <w:r w:rsidRPr="00AD4F16">
        <w:rPr>
          <w:rFonts w:ascii="AdvTimes" w:eastAsia="Calibri" w:hAnsi="Calibri" w:cs="AdvTimes"/>
          <w:sz w:val="17"/>
          <w:szCs w:val="17"/>
        </w:rPr>
        <w:t>, MD</w:t>
      </w:r>
      <w:r>
        <w:rPr>
          <w:rFonts w:ascii="AdvTimes" w:eastAsia="Calibri" w:hAnsi="Calibri" w:cs="AdvTimes"/>
          <w:sz w:val="17"/>
          <w:szCs w:val="17"/>
        </w:rPr>
        <w:t>,</w:t>
      </w:r>
      <w:r w:rsidRPr="00AD4F16">
        <w:rPr>
          <w:rFonts w:ascii="AdvTimes" w:eastAsia="Calibri" w:hAnsi="Calibri" w:cs="AdvTimes"/>
          <w:sz w:val="17"/>
          <w:szCs w:val="17"/>
        </w:rPr>
        <w:t xml:space="preserve"> Assistant Professor of </w:t>
      </w:r>
      <w:proofErr w:type="spellStart"/>
      <w:r w:rsidRPr="00AD4F16">
        <w:rPr>
          <w:rFonts w:ascii="AdvTimes" w:eastAsia="Calibri" w:hAnsi="Calibri" w:cs="AdvTimes"/>
          <w:sz w:val="17"/>
          <w:szCs w:val="17"/>
        </w:rPr>
        <w:t>Radiodiagnosis</w:t>
      </w:r>
      <w:proofErr w:type="spellEnd"/>
      <w:r w:rsidRPr="00AD4F16">
        <w:rPr>
          <w:rFonts w:ascii="AdvTimes" w:eastAsia="Calibri" w:hAnsi="Calibri" w:cs="AdvTimes"/>
          <w:sz w:val="17"/>
          <w:szCs w:val="17"/>
        </w:rPr>
        <w:t xml:space="preserve"> Faculty of medicine Cairo University</w:t>
      </w:r>
    </w:p>
    <w:p w:rsidR="00AD4F16" w:rsidRPr="005314E3" w:rsidRDefault="005314E3" w:rsidP="005314E3">
      <w:pPr>
        <w:bidi w:val="0"/>
        <w:spacing w:line="240" w:lineRule="auto"/>
        <w:jc w:val="both"/>
        <w:rPr>
          <w:rFonts w:ascii="AdvTimes" w:eastAsia="Calibri" w:hAnsi="Calibri" w:cs="AdvTimes" w:hint="cs"/>
          <w:sz w:val="17"/>
          <w:szCs w:val="17"/>
          <w:rtl/>
        </w:rPr>
      </w:pPr>
      <w:r>
        <w:rPr>
          <w:rFonts w:ascii="AdvTimes" w:eastAsia="Calibri" w:hAnsi="Calibri" w:cs="AdvTimes"/>
          <w:sz w:val="17"/>
          <w:szCs w:val="17"/>
        </w:rPr>
        <w:t xml:space="preserve">Dr. </w:t>
      </w:r>
      <w:proofErr w:type="spellStart"/>
      <w:r w:rsidRPr="005314E3">
        <w:rPr>
          <w:rFonts w:ascii="AdvTimes" w:eastAsia="Calibri" w:hAnsi="Calibri" w:cs="AdvTimes"/>
          <w:sz w:val="17"/>
          <w:szCs w:val="17"/>
        </w:rPr>
        <w:t>Nehal</w:t>
      </w:r>
      <w:proofErr w:type="spellEnd"/>
      <w:r w:rsidRPr="005314E3">
        <w:rPr>
          <w:rFonts w:ascii="AdvTimes" w:eastAsia="Calibri" w:hAnsi="Calibri" w:cs="AdvTimes"/>
          <w:sz w:val="17"/>
          <w:szCs w:val="17"/>
        </w:rPr>
        <w:t xml:space="preserve"> Ali Abdel </w:t>
      </w:r>
      <w:proofErr w:type="spellStart"/>
      <w:r w:rsidRPr="005314E3">
        <w:rPr>
          <w:rFonts w:ascii="AdvTimes" w:eastAsia="Calibri" w:hAnsi="Calibri" w:cs="AdvTimes"/>
          <w:sz w:val="17"/>
          <w:szCs w:val="17"/>
        </w:rPr>
        <w:t>Mohsen</w:t>
      </w:r>
      <w:proofErr w:type="spellEnd"/>
      <w:r w:rsidRPr="005314E3">
        <w:rPr>
          <w:rFonts w:ascii="AdvTimes" w:eastAsia="Calibri" w:hAnsi="Calibri" w:cs="AdvTimes"/>
          <w:sz w:val="17"/>
          <w:szCs w:val="17"/>
        </w:rPr>
        <w:t xml:space="preserve"> M.B.B.Ch Faculty of medicine Cairo University </w:t>
      </w:r>
    </w:p>
    <w:p w:rsidR="00105C20" w:rsidRPr="00105C20" w:rsidRDefault="00105C20" w:rsidP="00AD4F16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Times" w:eastAsia="Calibri" w:hAnsi="Calibri" w:cs="AdvTimes"/>
          <w:sz w:val="17"/>
          <w:szCs w:val="17"/>
        </w:rPr>
      </w:pPr>
      <w:r>
        <w:rPr>
          <w:rFonts w:ascii="AdvTimes-b" w:cs="AdvTimes-b"/>
          <w:sz w:val="17"/>
          <w:szCs w:val="17"/>
        </w:rPr>
        <w:t xml:space="preserve">Abstract </w:t>
      </w:r>
      <w:r>
        <w:rPr>
          <w:rFonts w:ascii="AdvTimes-i" w:cs="AdvTimes-i"/>
          <w:sz w:val="17"/>
          <w:szCs w:val="17"/>
        </w:rPr>
        <w:t xml:space="preserve">Objective: </w:t>
      </w:r>
      <w:r>
        <w:rPr>
          <w:rFonts w:ascii="AdvTimes" w:cs="AdvTimes"/>
          <w:sz w:val="17"/>
          <w:szCs w:val="17"/>
        </w:rPr>
        <w:t xml:space="preserve">This study was done to </w:t>
      </w:r>
      <w:r w:rsidRPr="00105C20">
        <w:rPr>
          <w:rFonts w:ascii="AdvTimes" w:eastAsia="Calibri" w:hAnsi="Calibri" w:cs="AdvTimes"/>
          <w:sz w:val="17"/>
          <w:szCs w:val="17"/>
        </w:rPr>
        <w:t>review the clinical role of FDG-PET/CT in the initial staging, regional recurrence, distant metastasis and prognostication of bone and soft tissue sarcomas.</w:t>
      </w:r>
    </w:p>
    <w:p w:rsidR="00105C20" w:rsidRPr="00105C20" w:rsidRDefault="00105C20" w:rsidP="00AD4F16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Times" w:eastAsia="Calibri" w:hAnsi="Calibri" w:cs="AdvTimes"/>
          <w:sz w:val="17"/>
          <w:szCs w:val="17"/>
        </w:rPr>
      </w:pPr>
      <w:r>
        <w:rPr>
          <w:rFonts w:ascii="AdvTimes" w:cs="AdvTimes"/>
          <w:sz w:val="17"/>
          <w:szCs w:val="17"/>
        </w:rPr>
        <w:t>Also t</w:t>
      </w:r>
      <w:r w:rsidRPr="00105C20">
        <w:rPr>
          <w:rFonts w:ascii="AdvTimes" w:eastAsia="Calibri" w:hAnsi="Calibri" w:cs="AdvTimes"/>
          <w:sz w:val="17"/>
          <w:szCs w:val="17"/>
        </w:rPr>
        <w:t>o review the recent advances in the follow up, evaluation of the treatment response after systemic chemotherapy and/or radiotherapy, differentiation of recurrence versus fibrosis and post-treatment surveillance for recurrence in bone and soft tissue sarcomas by the use of FDG-PET/CT.</w:t>
      </w:r>
    </w:p>
    <w:p w:rsidR="00105C20" w:rsidRDefault="00105C20" w:rsidP="00105C20">
      <w:pPr>
        <w:autoSpaceDE w:val="0"/>
        <w:autoSpaceDN w:val="0"/>
        <w:bidi w:val="0"/>
        <w:adjustRightInd w:val="0"/>
        <w:spacing w:after="0" w:line="240" w:lineRule="auto"/>
        <w:rPr>
          <w:rFonts w:ascii="AdvTimes-i" w:cs="AdvTimes-i"/>
          <w:sz w:val="17"/>
          <w:szCs w:val="17"/>
        </w:rPr>
      </w:pPr>
    </w:p>
    <w:p w:rsidR="000F6339" w:rsidRDefault="00105C20" w:rsidP="000F6339">
      <w:pPr>
        <w:bidi w:val="0"/>
        <w:spacing w:line="240" w:lineRule="auto"/>
        <w:jc w:val="both"/>
        <w:rPr>
          <w:sz w:val="24"/>
          <w:szCs w:val="24"/>
        </w:rPr>
      </w:pPr>
      <w:r>
        <w:rPr>
          <w:rFonts w:ascii="AdvTimes-i" w:cs="AdvTimes-i"/>
          <w:sz w:val="17"/>
          <w:szCs w:val="17"/>
        </w:rPr>
        <w:t xml:space="preserve">Subjects and methods: </w:t>
      </w:r>
      <w:r w:rsidRPr="00105C20">
        <w:rPr>
          <w:rFonts w:ascii="AdvTimes" w:eastAsia="Calibri" w:hAnsi="Calibri" w:cs="AdvTimes"/>
          <w:sz w:val="17"/>
          <w:szCs w:val="17"/>
        </w:rPr>
        <w:t>This study included 20 patients with sarcomas, 7 patients with biopsy proven osseous sarcoma and 13 patients with biopsy proven soft tissue sarcoma.</w:t>
      </w:r>
      <w:r w:rsidR="00907465" w:rsidRPr="00907465">
        <w:rPr>
          <w:sz w:val="24"/>
          <w:szCs w:val="24"/>
        </w:rPr>
        <w:t xml:space="preserve"> </w:t>
      </w:r>
      <w:r w:rsidR="00907465" w:rsidRPr="00907465">
        <w:rPr>
          <w:rFonts w:ascii="AdvTimes" w:eastAsia="Calibri" w:hAnsi="Calibri" w:cs="AdvTimes"/>
          <w:sz w:val="17"/>
          <w:szCs w:val="17"/>
        </w:rPr>
        <w:t>Combined PET/CT scan was performed in one session. A whole body examination was performed starting from skull base to mid thighs; a whole body PET study followed by diagnostic enhanced whole body CT scan. The whole study took approximately 20-30 minutes.</w:t>
      </w:r>
      <w:r w:rsidR="000F6339">
        <w:rPr>
          <w:rFonts w:ascii="AdvTimes" w:eastAsia="Calibri" w:hAnsi="Calibri" w:cs="AdvTimes"/>
          <w:sz w:val="17"/>
          <w:szCs w:val="17"/>
        </w:rPr>
        <w:t xml:space="preserve">   </w:t>
      </w:r>
      <w:r w:rsidR="000F6339" w:rsidRPr="000F6339">
        <w:rPr>
          <w:rFonts w:ascii="AdvTimes" w:eastAsia="Calibri" w:hAnsi="Calibri" w:cs="AdvTimes"/>
          <w:sz w:val="17"/>
          <w:szCs w:val="17"/>
        </w:rPr>
        <w:t xml:space="preserve">Analysis of PET images was done via visual and semi quantitative assessment (SUV max measurement). </w:t>
      </w:r>
      <w:r w:rsidR="00907465" w:rsidRPr="000F6339">
        <w:rPr>
          <w:rFonts w:ascii="AdvTimes" w:eastAsia="Calibri" w:hAnsi="Calibri" w:cs="AdvTimes"/>
          <w:sz w:val="17"/>
          <w:szCs w:val="17"/>
        </w:rPr>
        <w:t xml:space="preserve"> </w:t>
      </w:r>
      <w:r w:rsidR="000F6339" w:rsidRPr="000F6339">
        <w:rPr>
          <w:rFonts w:ascii="AdvTimes" w:eastAsia="Calibri" w:hAnsi="Calibri" w:cs="AdvTimes"/>
          <w:sz w:val="17"/>
          <w:szCs w:val="17"/>
        </w:rPr>
        <w:t>On interpreting fused PET/CT images lesions were considered positive when areas of increased FDG uptake are localized to the lesion. Lesions were considered negative at areas lacking high FDG uptake.</w:t>
      </w:r>
    </w:p>
    <w:p w:rsidR="00105C20" w:rsidRPr="0020465C" w:rsidRDefault="00105C20" w:rsidP="0020465C">
      <w:pPr>
        <w:autoSpaceDE w:val="0"/>
        <w:autoSpaceDN w:val="0"/>
        <w:bidi w:val="0"/>
        <w:adjustRightInd w:val="0"/>
        <w:spacing w:line="240" w:lineRule="auto"/>
        <w:jc w:val="both"/>
        <w:rPr>
          <w:rFonts w:ascii="AdvTimes" w:eastAsia="Calibri" w:hAnsi="Calibri" w:cs="AdvTimes"/>
          <w:sz w:val="17"/>
          <w:szCs w:val="17"/>
        </w:rPr>
      </w:pPr>
      <w:r w:rsidRPr="00FB112D">
        <w:rPr>
          <w:rFonts w:ascii="AdvTimes-i" w:cs="AdvTimes-i"/>
          <w:sz w:val="17"/>
          <w:szCs w:val="17"/>
        </w:rPr>
        <w:t xml:space="preserve">Results: </w:t>
      </w:r>
      <w:r w:rsidR="00B05F2D" w:rsidRPr="0020465C">
        <w:rPr>
          <w:rFonts w:ascii="AdvTimes" w:eastAsia="Calibri" w:hAnsi="Calibri" w:cs="AdvTimes"/>
          <w:sz w:val="17"/>
          <w:szCs w:val="17"/>
        </w:rPr>
        <w:t xml:space="preserve">There </w:t>
      </w:r>
      <w:r w:rsidR="00FB112D" w:rsidRPr="0020465C">
        <w:rPr>
          <w:rFonts w:ascii="AdvTimes" w:eastAsia="Calibri" w:hAnsi="Calibri" w:cs="AdvTimes"/>
          <w:sz w:val="17"/>
          <w:szCs w:val="17"/>
        </w:rPr>
        <w:t>was</w:t>
      </w:r>
      <w:r w:rsidR="00B05F2D" w:rsidRPr="0020465C">
        <w:rPr>
          <w:rFonts w:ascii="AdvTimes" w:eastAsia="Calibri" w:hAnsi="Calibri" w:cs="AdvTimes"/>
          <w:sz w:val="17"/>
          <w:szCs w:val="17"/>
        </w:rPr>
        <w:t xml:space="preserve"> no significant agreement in detection of </w:t>
      </w:r>
      <w:proofErr w:type="spellStart"/>
      <w:r w:rsidR="00B05F2D" w:rsidRPr="0020465C">
        <w:rPr>
          <w:rFonts w:ascii="AdvTimes" w:eastAsia="Calibri" w:hAnsi="Calibri" w:cs="AdvTimes"/>
          <w:sz w:val="17"/>
          <w:szCs w:val="17"/>
        </w:rPr>
        <w:t>locoregional</w:t>
      </w:r>
      <w:proofErr w:type="spellEnd"/>
      <w:r w:rsidR="00B05F2D" w:rsidRPr="0020465C">
        <w:rPr>
          <w:rFonts w:ascii="AdvTimes" w:eastAsia="Calibri" w:hAnsi="Calibri" w:cs="AdvTimes"/>
          <w:sz w:val="17"/>
          <w:szCs w:val="17"/>
        </w:rPr>
        <w:t xml:space="preserve"> recurrence by PET/CT &amp; CECT (P value=0.341), as they</w:t>
      </w:r>
      <w:r w:rsidR="000F6339" w:rsidRPr="0020465C">
        <w:rPr>
          <w:rFonts w:ascii="AdvTimes" w:eastAsia="Calibri" w:hAnsi="Calibri" w:cs="AdvTimes"/>
          <w:sz w:val="17"/>
          <w:szCs w:val="17"/>
        </w:rPr>
        <w:t xml:space="preserve"> </w:t>
      </w:r>
      <w:r w:rsidR="00B05F2D" w:rsidRPr="0020465C">
        <w:rPr>
          <w:rFonts w:ascii="AdvTimes" w:eastAsia="Calibri" w:hAnsi="Calibri" w:cs="AdvTimes"/>
          <w:sz w:val="17"/>
          <w:szCs w:val="17"/>
        </w:rPr>
        <w:t>revealed similar results</w:t>
      </w:r>
      <w:r w:rsidR="000F6339" w:rsidRPr="0020465C">
        <w:rPr>
          <w:rFonts w:ascii="AdvTimes" w:eastAsia="Calibri" w:hAnsi="Calibri" w:cs="AdvTimes"/>
          <w:sz w:val="17"/>
          <w:szCs w:val="17"/>
        </w:rPr>
        <w:t xml:space="preserve"> in 10 patients</w:t>
      </w:r>
      <w:r w:rsidR="00B05F2D" w:rsidRPr="0020465C">
        <w:rPr>
          <w:rFonts w:ascii="AdvTimes" w:eastAsia="Calibri" w:hAnsi="Calibri" w:cs="AdvTimes"/>
          <w:sz w:val="17"/>
          <w:szCs w:val="17"/>
        </w:rPr>
        <w:t>; 6 patients were positive and 4 patients were negative</w:t>
      </w:r>
      <w:r w:rsidR="00FB112D" w:rsidRPr="0020465C">
        <w:rPr>
          <w:rFonts w:ascii="AdvTimes" w:eastAsia="Calibri" w:hAnsi="Calibri" w:cs="AdvTimes"/>
          <w:sz w:val="17"/>
          <w:szCs w:val="17"/>
        </w:rPr>
        <w:t xml:space="preserve">, while disagreed in 6 patients. Also There was no significant agreement in detection of distant metastasis by PET/CT &amp; CECT (P value=0.394), as they yielded similar results in 10 patients while disagreed in 10. PET/CT was the best modality for detection of disease response following treatment in follow up of patients of sarcomas as compared to CECT scan alone. </w:t>
      </w:r>
    </w:p>
    <w:p w:rsidR="0020465C" w:rsidRPr="0020465C" w:rsidRDefault="00105C20" w:rsidP="0020465C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Times" w:eastAsia="Calibri" w:hAnsi="Calibri" w:cs="AdvTimes"/>
          <w:sz w:val="17"/>
          <w:szCs w:val="17"/>
        </w:rPr>
      </w:pPr>
      <w:r>
        <w:rPr>
          <w:rFonts w:ascii="AdvTimes-i" w:cs="AdvTimes-i"/>
          <w:sz w:val="17"/>
          <w:szCs w:val="17"/>
        </w:rPr>
        <w:t xml:space="preserve">Conclusion: </w:t>
      </w:r>
      <w:r w:rsidR="0020465C" w:rsidRPr="0020465C">
        <w:rPr>
          <w:rFonts w:ascii="AdvTimes" w:eastAsia="Calibri" w:hAnsi="Calibri" w:cs="AdvTimes"/>
          <w:sz w:val="17"/>
          <w:szCs w:val="17"/>
        </w:rPr>
        <w:t xml:space="preserve">PET/CT is a useful diagnostic tool for imaging and detection </w:t>
      </w:r>
      <w:r w:rsidR="0020465C">
        <w:rPr>
          <w:rFonts w:eastAsia="Calibri" w:cs="AdvTimes"/>
          <w:sz w:val="17"/>
          <w:szCs w:val="17"/>
        </w:rPr>
        <w:t>of sof</w:t>
      </w:r>
      <w:r w:rsidR="0020465C" w:rsidRPr="0020465C">
        <w:rPr>
          <w:rFonts w:ascii="AdvTimes" w:eastAsia="Calibri" w:hAnsi="Calibri" w:cs="AdvTimes"/>
          <w:sz w:val="17"/>
          <w:szCs w:val="17"/>
        </w:rPr>
        <w:t>t tissue or osseous sarcomas. PET/CT seems to be superior compared with conventional imaging in determining the M</w:t>
      </w:r>
      <w:r w:rsidR="0020465C" w:rsidRPr="0020465C">
        <w:rPr>
          <w:rFonts w:ascii="AdvTimes" w:eastAsia="Calibri" w:hAnsi="Calibri" w:cs="AdvTimes"/>
          <w:sz w:val="17"/>
          <w:szCs w:val="17"/>
        </w:rPr>
        <w:t> </w:t>
      </w:r>
      <w:r w:rsidR="0020465C" w:rsidRPr="0020465C">
        <w:rPr>
          <w:rFonts w:ascii="AdvTimes" w:eastAsia="Calibri" w:hAnsi="Calibri" w:cs="AdvTimes"/>
          <w:sz w:val="17"/>
          <w:szCs w:val="17"/>
        </w:rPr>
        <w:t xml:space="preserve">stage of STS and BS. Both PET/CT and CECT are equal in determining the T stage. 18F-FDG PET/CT had greater diagnostic accuracy in the detection of recurrent bone or soft tissue sarcoma compared with CE-CT alone. </w:t>
      </w:r>
    </w:p>
    <w:p w:rsidR="0020465C" w:rsidRPr="001A000A" w:rsidRDefault="0020465C" w:rsidP="0020465C">
      <w:pPr>
        <w:autoSpaceDE w:val="0"/>
        <w:autoSpaceDN w:val="0"/>
        <w:adjustRightInd w:val="0"/>
        <w:spacing w:line="360" w:lineRule="auto"/>
        <w:ind w:left="720"/>
        <w:jc w:val="lowKashida"/>
        <w:rPr>
          <w:rFonts w:hint="cs"/>
          <w:sz w:val="28"/>
          <w:szCs w:val="28"/>
          <w:rtl/>
          <w:lang w:bidi="ar-EG"/>
        </w:rPr>
      </w:pPr>
    </w:p>
    <w:p w:rsidR="002C06CA" w:rsidRDefault="002C06CA" w:rsidP="0020465C">
      <w:pPr>
        <w:autoSpaceDE w:val="0"/>
        <w:autoSpaceDN w:val="0"/>
        <w:bidi w:val="0"/>
        <w:adjustRightInd w:val="0"/>
        <w:spacing w:after="0" w:line="240" w:lineRule="auto"/>
        <w:rPr>
          <w:lang w:bidi="ar-EG"/>
        </w:rPr>
      </w:pPr>
    </w:p>
    <w:sectPr w:rsidR="002C06CA" w:rsidSect="002C06C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dvTimes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dvTimes-b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dvTimes-i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0518"/>
    <w:multiLevelType w:val="hybridMultilevel"/>
    <w:tmpl w:val="CBB69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C32789"/>
    <w:multiLevelType w:val="hybridMultilevel"/>
    <w:tmpl w:val="C18C9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381EE5"/>
    <w:multiLevelType w:val="hybridMultilevel"/>
    <w:tmpl w:val="645A3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F2446"/>
    <w:multiLevelType w:val="hybridMultilevel"/>
    <w:tmpl w:val="CB5AD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105C20"/>
    <w:rsid w:val="000F6339"/>
    <w:rsid w:val="00105C20"/>
    <w:rsid w:val="0020465C"/>
    <w:rsid w:val="002C06CA"/>
    <w:rsid w:val="00384121"/>
    <w:rsid w:val="005314E3"/>
    <w:rsid w:val="00907465"/>
    <w:rsid w:val="00AD4F16"/>
    <w:rsid w:val="00B05F2D"/>
    <w:rsid w:val="00C36127"/>
    <w:rsid w:val="00F513C2"/>
    <w:rsid w:val="00FB1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12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112D"/>
    <w:pPr>
      <w:bidi w:val="0"/>
      <w:ind w:left="720"/>
      <w:contextualSpacing/>
    </w:pPr>
    <w:rPr>
      <w:rFonts w:ascii="Calibri" w:eastAsia="Times New Roman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2016-05-07T19:01:00Z</dcterms:created>
  <dcterms:modified xsi:type="dcterms:W3CDTF">2016-05-08T03:28:00Z</dcterms:modified>
</cp:coreProperties>
</file>