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97B" w:rsidRPr="005943A2" w:rsidRDefault="00FD297B" w:rsidP="00FD297B">
      <w:pPr>
        <w:spacing w:line="480" w:lineRule="auto"/>
        <w:jc w:val="both"/>
        <w:rPr>
          <w:b/>
          <w:bCs/>
        </w:rPr>
      </w:pPr>
      <w:r w:rsidRPr="005943A2">
        <w:rPr>
          <w:b/>
        </w:rPr>
        <w:t>Estimation of human norovirus infectivity from environmental water samples</w:t>
      </w:r>
      <w:r w:rsidRPr="005943A2">
        <w:rPr>
          <w:b/>
          <w:bCs/>
        </w:rPr>
        <w:t xml:space="preserve"> by </w:t>
      </w:r>
      <w:r w:rsidRPr="005943A2">
        <w:rPr>
          <w:b/>
          <w:bCs/>
          <w:i/>
        </w:rPr>
        <w:t>In Situ</w:t>
      </w:r>
      <w:r w:rsidRPr="005943A2">
        <w:rPr>
          <w:b/>
          <w:bCs/>
        </w:rPr>
        <w:t xml:space="preserve"> Capture RT-qPCR method </w:t>
      </w:r>
    </w:p>
    <w:p w:rsidR="00FD297B" w:rsidRPr="00002B9C" w:rsidRDefault="00FD297B" w:rsidP="00FD297B">
      <w:pPr>
        <w:autoSpaceDE w:val="0"/>
        <w:autoSpaceDN w:val="0"/>
        <w:adjustRightInd w:val="0"/>
        <w:spacing w:afterLines="50" w:after="120" w:line="480" w:lineRule="auto"/>
        <w:jc w:val="both"/>
        <w:rPr>
          <w:b/>
          <w:bCs/>
          <w:sz w:val="20"/>
          <w:szCs w:val="20"/>
        </w:rPr>
      </w:pPr>
      <w:r w:rsidRPr="00002B9C">
        <w:rPr>
          <w:b/>
          <w:bCs/>
          <w:sz w:val="20"/>
          <w:szCs w:val="20"/>
        </w:rPr>
        <w:t>Peng Tian</w:t>
      </w:r>
      <w:r w:rsidRPr="00002B9C">
        <w:rPr>
          <w:sz w:val="20"/>
          <w:szCs w:val="20"/>
          <w:vertAlign w:val="superscript"/>
        </w:rPr>
        <w:t>1</w:t>
      </w:r>
      <w:r w:rsidRPr="00002B9C">
        <w:rPr>
          <w:b/>
          <w:bCs/>
          <w:sz w:val="20"/>
          <w:szCs w:val="20"/>
        </w:rPr>
        <w:t>, David Yang</w:t>
      </w:r>
      <w:r w:rsidRPr="00002B9C">
        <w:rPr>
          <w:sz w:val="20"/>
          <w:szCs w:val="20"/>
          <w:vertAlign w:val="superscript"/>
        </w:rPr>
        <w:t>1</w:t>
      </w:r>
      <w:r w:rsidRPr="00002B9C">
        <w:rPr>
          <w:b/>
          <w:bCs/>
          <w:sz w:val="20"/>
          <w:szCs w:val="20"/>
        </w:rPr>
        <w:t>, Lei Shan</w:t>
      </w:r>
      <w:r w:rsidRPr="00002B9C">
        <w:rPr>
          <w:sz w:val="20"/>
          <w:szCs w:val="20"/>
          <w:vertAlign w:val="superscript"/>
        </w:rPr>
        <w:t>1</w:t>
      </w:r>
      <w:r w:rsidRPr="00002B9C">
        <w:rPr>
          <w:b/>
          <w:bCs/>
          <w:sz w:val="20"/>
          <w:szCs w:val="20"/>
        </w:rPr>
        <w:t xml:space="preserve">, </w:t>
      </w:r>
      <w:proofErr w:type="spellStart"/>
      <w:r w:rsidRPr="00002B9C">
        <w:rPr>
          <w:b/>
          <w:bCs/>
          <w:sz w:val="20"/>
          <w:szCs w:val="20"/>
        </w:rPr>
        <w:t>Qianqian</w:t>
      </w:r>
      <w:proofErr w:type="spellEnd"/>
      <w:r w:rsidRPr="00002B9C">
        <w:rPr>
          <w:b/>
          <w:bCs/>
          <w:sz w:val="20"/>
          <w:szCs w:val="20"/>
        </w:rPr>
        <w:t xml:space="preserve"> Li</w:t>
      </w:r>
      <w:r w:rsidRPr="00002B9C">
        <w:rPr>
          <w:b/>
          <w:bCs/>
          <w:sz w:val="20"/>
          <w:szCs w:val="20"/>
          <w:vertAlign w:val="superscript"/>
        </w:rPr>
        <w:t>2</w:t>
      </w:r>
      <w:r w:rsidRPr="00002B9C">
        <w:rPr>
          <w:b/>
          <w:bCs/>
          <w:sz w:val="20"/>
          <w:szCs w:val="20"/>
        </w:rPr>
        <w:t xml:space="preserve">, </w:t>
      </w:r>
      <w:bookmarkStart w:id="0" w:name="_GoBack"/>
      <w:proofErr w:type="spellStart"/>
      <w:r w:rsidRPr="00002B9C">
        <w:rPr>
          <w:b/>
          <w:bCs/>
          <w:sz w:val="20"/>
          <w:szCs w:val="20"/>
        </w:rPr>
        <w:t>Danlei</w:t>
      </w:r>
      <w:proofErr w:type="spellEnd"/>
      <w:r w:rsidRPr="00002B9C">
        <w:rPr>
          <w:b/>
          <w:bCs/>
          <w:sz w:val="20"/>
          <w:szCs w:val="20"/>
        </w:rPr>
        <w:t xml:space="preserve"> Liu</w:t>
      </w:r>
      <w:r w:rsidRPr="00002B9C">
        <w:rPr>
          <w:sz w:val="20"/>
          <w:szCs w:val="20"/>
          <w:vertAlign w:val="superscript"/>
        </w:rPr>
        <w:t>3</w:t>
      </w:r>
      <w:r w:rsidRPr="00002B9C">
        <w:rPr>
          <w:b/>
          <w:bCs/>
          <w:sz w:val="20"/>
          <w:szCs w:val="20"/>
        </w:rPr>
        <w:t xml:space="preserve">, </w:t>
      </w:r>
      <w:bookmarkEnd w:id="0"/>
      <w:proofErr w:type="spellStart"/>
      <w:r w:rsidRPr="00002B9C">
        <w:rPr>
          <w:b/>
          <w:bCs/>
          <w:sz w:val="20"/>
          <w:szCs w:val="20"/>
        </w:rPr>
        <w:t>Dapeng</w:t>
      </w:r>
      <w:proofErr w:type="spellEnd"/>
      <w:r w:rsidRPr="00002B9C">
        <w:rPr>
          <w:b/>
          <w:bCs/>
          <w:sz w:val="20"/>
          <w:szCs w:val="20"/>
        </w:rPr>
        <w:t xml:space="preserve"> Wang</w:t>
      </w:r>
      <w:r w:rsidRPr="00002B9C">
        <w:rPr>
          <w:sz w:val="20"/>
          <w:szCs w:val="20"/>
          <w:vertAlign w:val="superscript"/>
        </w:rPr>
        <w:t>3</w:t>
      </w:r>
    </w:p>
    <w:p w:rsidR="00FD297B" w:rsidRPr="00002B9C" w:rsidRDefault="00FD297B" w:rsidP="00FD297B">
      <w:pPr>
        <w:pStyle w:val="Default"/>
        <w:spacing w:afterLines="50" w:after="120" w:line="360" w:lineRule="auto"/>
        <w:jc w:val="both"/>
        <w:rPr>
          <w:sz w:val="20"/>
          <w:szCs w:val="20"/>
          <w:vertAlign w:val="superscript"/>
        </w:rPr>
      </w:pPr>
    </w:p>
    <w:p w:rsidR="00FD297B" w:rsidRPr="00002B9C" w:rsidRDefault="00FD297B" w:rsidP="00FD297B">
      <w:pPr>
        <w:spacing w:line="480" w:lineRule="auto"/>
        <w:jc w:val="both"/>
        <w:rPr>
          <w:sz w:val="20"/>
          <w:szCs w:val="20"/>
        </w:rPr>
      </w:pPr>
      <w:r w:rsidRPr="00002B9C">
        <w:rPr>
          <w:sz w:val="20"/>
          <w:szCs w:val="20"/>
          <w:vertAlign w:val="superscript"/>
        </w:rPr>
        <w:t>1</w:t>
      </w:r>
      <w:r w:rsidRPr="00002B9C">
        <w:rPr>
          <w:sz w:val="20"/>
          <w:szCs w:val="20"/>
        </w:rPr>
        <w:t xml:space="preserve">Produce Safety and Microbiology Research Unit, </w:t>
      </w:r>
      <w:smartTag w:uri="urn:schemas-microsoft-com:office:smarttags" w:element="PlaceName">
        <w:r w:rsidRPr="00002B9C">
          <w:rPr>
            <w:sz w:val="20"/>
            <w:szCs w:val="20"/>
          </w:rPr>
          <w:t>Western</w:t>
        </w:r>
      </w:smartTag>
      <w:r w:rsidRPr="00002B9C">
        <w:rPr>
          <w:sz w:val="20"/>
          <w:szCs w:val="20"/>
        </w:rPr>
        <w:t xml:space="preserve"> </w:t>
      </w:r>
      <w:smartTag w:uri="urn:schemas-microsoft-com:office:smarttags" w:element="PlaceName">
        <w:r w:rsidRPr="00002B9C">
          <w:rPr>
            <w:sz w:val="20"/>
            <w:szCs w:val="20"/>
          </w:rPr>
          <w:t>Regional</w:t>
        </w:r>
      </w:smartTag>
      <w:r w:rsidRPr="00002B9C">
        <w:rPr>
          <w:sz w:val="20"/>
          <w:szCs w:val="20"/>
        </w:rPr>
        <w:t xml:space="preserve"> </w:t>
      </w:r>
      <w:smartTag w:uri="urn:schemas-microsoft-com:office:smarttags" w:element="PlaceName">
        <w:r w:rsidRPr="00002B9C">
          <w:rPr>
            <w:sz w:val="20"/>
            <w:szCs w:val="20"/>
          </w:rPr>
          <w:t>Research</w:t>
        </w:r>
      </w:smartTag>
      <w:r w:rsidRPr="00002B9C">
        <w:rPr>
          <w:sz w:val="20"/>
          <w:szCs w:val="20"/>
        </w:rPr>
        <w:t xml:space="preserve"> </w:t>
      </w:r>
      <w:smartTag w:uri="urn:schemas-microsoft-com:office:smarttags" w:element="PlaceType">
        <w:r w:rsidRPr="00002B9C">
          <w:rPr>
            <w:sz w:val="20"/>
            <w:szCs w:val="20"/>
          </w:rPr>
          <w:t>Center</w:t>
        </w:r>
      </w:smartTag>
      <w:r w:rsidRPr="00002B9C">
        <w:rPr>
          <w:sz w:val="20"/>
          <w:szCs w:val="20"/>
        </w:rPr>
        <w:t xml:space="preserve">, Agricultural Research </w:t>
      </w:r>
      <w:smartTag w:uri="urn:schemas-microsoft-com:office:smarttags" w:element="City">
        <w:r w:rsidRPr="00002B9C">
          <w:rPr>
            <w:sz w:val="20"/>
            <w:szCs w:val="20"/>
          </w:rPr>
          <w:t>Service</w:t>
        </w:r>
      </w:smartTag>
      <w:r w:rsidRPr="00002B9C">
        <w:rPr>
          <w:sz w:val="20"/>
          <w:szCs w:val="20"/>
        </w:rPr>
        <w:t xml:space="preserve">, </w:t>
      </w:r>
      <w:smartTag w:uri="urn:schemas-microsoft-com:office:smarttags" w:element="country-region">
        <w:r w:rsidRPr="00002B9C">
          <w:rPr>
            <w:sz w:val="20"/>
            <w:szCs w:val="20"/>
          </w:rPr>
          <w:t>United States</w:t>
        </w:r>
      </w:smartTag>
      <w:r w:rsidRPr="00002B9C">
        <w:rPr>
          <w:sz w:val="20"/>
          <w:szCs w:val="20"/>
        </w:rPr>
        <w:t xml:space="preserve"> Department of Agriculture, </w:t>
      </w:r>
      <w:smartTag w:uri="urn:schemas-microsoft-com:office:smarttags" w:element="City">
        <w:smartTag w:uri="urn:schemas-microsoft-com:office:smarttags" w:element="place">
          <w:r w:rsidRPr="00002B9C">
            <w:rPr>
              <w:sz w:val="20"/>
              <w:szCs w:val="20"/>
            </w:rPr>
            <w:t>Albany</w:t>
          </w:r>
        </w:smartTag>
        <w:r w:rsidRPr="00002B9C">
          <w:rPr>
            <w:sz w:val="20"/>
            <w:szCs w:val="20"/>
          </w:rPr>
          <w:t xml:space="preserve">, </w:t>
        </w:r>
        <w:smartTag w:uri="urn:schemas-microsoft-com:office:smarttags" w:element="State">
          <w:r w:rsidRPr="00002B9C">
            <w:rPr>
              <w:sz w:val="20"/>
              <w:szCs w:val="20"/>
            </w:rPr>
            <w:t>CA</w:t>
          </w:r>
        </w:smartTag>
        <w:r w:rsidRPr="00002B9C">
          <w:rPr>
            <w:sz w:val="20"/>
            <w:szCs w:val="20"/>
          </w:rPr>
          <w:t xml:space="preserve"> </w:t>
        </w:r>
        <w:smartTag w:uri="urn:schemas-microsoft-com:office:smarttags" w:element="PostalCode">
          <w:r w:rsidRPr="00002B9C">
            <w:rPr>
              <w:sz w:val="20"/>
              <w:szCs w:val="20"/>
            </w:rPr>
            <w:t>94710</w:t>
          </w:r>
        </w:smartTag>
        <w:r w:rsidRPr="00002B9C">
          <w:rPr>
            <w:sz w:val="20"/>
            <w:szCs w:val="20"/>
          </w:rPr>
          <w:t xml:space="preserve">, </w:t>
        </w:r>
        <w:smartTag w:uri="urn:schemas-microsoft-com:office:smarttags" w:element="country-region">
          <w:r w:rsidRPr="00002B9C">
            <w:rPr>
              <w:sz w:val="20"/>
              <w:szCs w:val="20"/>
            </w:rPr>
            <w:t>USA</w:t>
          </w:r>
        </w:smartTag>
      </w:smartTag>
    </w:p>
    <w:p w:rsidR="00FD297B" w:rsidRPr="00002B9C" w:rsidRDefault="00FD297B" w:rsidP="00FD297B">
      <w:pPr>
        <w:spacing w:line="480" w:lineRule="auto"/>
        <w:jc w:val="both"/>
        <w:rPr>
          <w:kern w:val="24"/>
          <w:sz w:val="20"/>
          <w:szCs w:val="20"/>
        </w:rPr>
      </w:pPr>
      <w:r w:rsidRPr="00002B9C">
        <w:rPr>
          <w:sz w:val="20"/>
          <w:szCs w:val="20"/>
          <w:vertAlign w:val="superscript"/>
        </w:rPr>
        <w:t>2</w:t>
      </w:r>
      <w:r w:rsidRPr="00002B9C">
        <w:rPr>
          <w:kern w:val="24"/>
          <w:sz w:val="20"/>
          <w:szCs w:val="20"/>
        </w:rPr>
        <w:t xml:space="preserve">Department of Bioengineering, Shanghai Institute of Technology, Shanghai, 100 </w:t>
      </w:r>
      <w:proofErr w:type="spellStart"/>
      <w:r w:rsidRPr="00002B9C">
        <w:rPr>
          <w:kern w:val="24"/>
          <w:sz w:val="20"/>
          <w:szCs w:val="20"/>
        </w:rPr>
        <w:t>Haiquan</w:t>
      </w:r>
      <w:proofErr w:type="spellEnd"/>
      <w:r w:rsidRPr="00002B9C">
        <w:rPr>
          <w:kern w:val="24"/>
          <w:sz w:val="20"/>
          <w:szCs w:val="20"/>
        </w:rPr>
        <w:t xml:space="preserve"> Road, </w:t>
      </w:r>
      <w:proofErr w:type="spellStart"/>
      <w:r w:rsidRPr="00002B9C">
        <w:rPr>
          <w:kern w:val="24"/>
          <w:sz w:val="20"/>
          <w:szCs w:val="20"/>
        </w:rPr>
        <w:t>Fengxian</w:t>
      </w:r>
      <w:proofErr w:type="spellEnd"/>
      <w:r w:rsidRPr="00002B9C">
        <w:rPr>
          <w:kern w:val="24"/>
          <w:sz w:val="20"/>
          <w:szCs w:val="20"/>
        </w:rPr>
        <w:t xml:space="preserve"> District, Shanghai 201418, PR China</w:t>
      </w:r>
    </w:p>
    <w:p w:rsidR="00FD297B" w:rsidRPr="00002B9C" w:rsidRDefault="00FD297B" w:rsidP="00FD297B">
      <w:pPr>
        <w:spacing w:line="480" w:lineRule="auto"/>
        <w:jc w:val="both"/>
        <w:rPr>
          <w:kern w:val="24"/>
          <w:sz w:val="20"/>
          <w:szCs w:val="20"/>
        </w:rPr>
      </w:pPr>
      <w:r w:rsidRPr="00002B9C">
        <w:rPr>
          <w:sz w:val="20"/>
          <w:szCs w:val="20"/>
          <w:vertAlign w:val="superscript"/>
        </w:rPr>
        <w:t>3</w:t>
      </w:r>
      <w:r w:rsidRPr="00002B9C">
        <w:rPr>
          <w:sz w:val="20"/>
          <w:szCs w:val="20"/>
        </w:rPr>
        <w:t xml:space="preserve">MOST-USDA Joint Research Center for </w:t>
      </w:r>
      <w:smartTag w:uri="urn:schemas-microsoft-com:office:smarttags" w:element="PlaceName">
        <w:r w:rsidRPr="00002B9C">
          <w:rPr>
            <w:sz w:val="20"/>
            <w:szCs w:val="20"/>
          </w:rPr>
          <w:t>Food</w:t>
        </w:r>
      </w:smartTag>
      <w:r w:rsidRPr="00002B9C">
        <w:rPr>
          <w:sz w:val="20"/>
          <w:szCs w:val="20"/>
        </w:rPr>
        <w:t xml:space="preserve"> </w:t>
      </w:r>
      <w:smartTag w:uri="urn:schemas-microsoft-com:office:smarttags" w:element="PlaceName">
        <w:r w:rsidRPr="00002B9C">
          <w:rPr>
            <w:sz w:val="20"/>
            <w:szCs w:val="20"/>
          </w:rPr>
          <w:t xml:space="preserve">Safety &amp; </w:t>
        </w:r>
        <w:proofErr w:type="spellStart"/>
        <w:r w:rsidRPr="00002B9C">
          <w:rPr>
            <w:sz w:val="20"/>
            <w:szCs w:val="20"/>
          </w:rPr>
          <w:t>Bor</w:t>
        </w:r>
      </w:smartTag>
      <w:proofErr w:type="spellEnd"/>
      <w:r w:rsidRPr="00002B9C">
        <w:rPr>
          <w:sz w:val="20"/>
          <w:szCs w:val="20"/>
        </w:rPr>
        <w:t xml:space="preserve"> </w:t>
      </w:r>
      <w:proofErr w:type="spellStart"/>
      <w:smartTag w:uri="urn:schemas-microsoft-com:office:smarttags" w:element="PlaceName">
        <w:r w:rsidRPr="00002B9C">
          <w:rPr>
            <w:sz w:val="20"/>
            <w:szCs w:val="20"/>
          </w:rPr>
          <w:t>Luh</w:t>
        </w:r>
      </w:smartTag>
      <w:proofErr w:type="spellEnd"/>
      <w:r w:rsidRPr="00002B9C">
        <w:rPr>
          <w:sz w:val="20"/>
          <w:szCs w:val="20"/>
        </w:rPr>
        <w:t xml:space="preserve"> </w:t>
      </w:r>
      <w:smartTag w:uri="urn:schemas-microsoft-com:office:smarttags" w:element="PlaceName">
        <w:r w:rsidRPr="00002B9C">
          <w:rPr>
            <w:sz w:val="20"/>
            <w:szCs w:val="20"/>
          </w:rPr>
          <w:t>Food</w:t>
        </w:r>
      </w:smartTag>
      <w:r w:rsidRPr="00002B9C">
        <w:rPr>
          <w:sz w:val="20"/>
          <w:szCs w:val="20"/>
        </w:rPr>
        <w:t xml:space="preserve"> </w:t>
      </w:r>
      <w:smartTag w:uri="urn:schemas-microsoft-com:office:smarttags" w:element="PlaceName">
        <w:r w:rsidRPr="00002B9C">
          <w:rPr>
            <w:sz w:val="20"/>
            <w:szCs w:val="20"/>
          </w:rPr>
          <w:t>Safety</w:t>
        </w:r>
      </w:smartTag>
      <w:r w:rsidRPr="00002B9C">
        <w:rPr>
          <w:sz w:val="20"/>
          <w:szCs w:val="20"/>
        </w:rPr>
        <w:t xml:space="preserve"> </w:t>
      </w:r>
      <w:smartTag w:uri="urn:schemas-microsoft-com:office:smarttags" w:element="PlaceType">
        <w:r w:rsidRPr="00002B9C">
          <w:rPr>
            <w:sz w:val="20"/>
            <w:szCs w:val="20"/>
          </w:rPr>
          <w:t>Center</w:t>
        </w:r>
      </w:smartTag>
      <w:r w:rsidRPr="00002B9C">
        <w:rPr>
          <w:sz w:val="20"/>
          <w:szCs w:val="20"/>
        </w:rPr>
        <w:t xml:space="preserve">, </w:t>
      </w:r>
      <w:smartTag w:uri="urn:schemas-microsoft-com:office:smarttags" w:element="PlaceType">
        <w:r w:rsidRPr="00002B9C">
          <w:rPr>
            <w:sz w:val="20"/>
            <w:szCs w:val="20"/>
          </w:rPr>
          <w:t>School</w:t>
        </w:r>
      </w:smartTag>
      <w:r w:rsidRPr="00002B9C">
        <w:rPr>
          <w:sz w:val="20"/>
          <w:szCs w:val="20"/>
        </w:rPr>
        <w:t xml:space="preserve"> of </w:t>
      </w:r>
      <w:smartTag w:uri="urn:schemas-microsoft-com:office:smarttags" w:element="PlaceName">
        <w:r w:rsidRPr="00002B9C">
          <w:rPr>
            <w:sz w:val="20"/>
            <w:szCs w:val="20"/>
          </w:rPr>
          <w:t>Agriculture</w:t>
        </w:r>
      </w:smartTag>
      <w:r w:rsidRPr="00002B9C">
        <w:rPr>
          <w:sz w:val="20"/>
          <w:szCs w:val="20"/>
        </w:rPr>
        <w:t xml:space="preserve"> and Biology, </w:t>
      </w:r>
      <w:smartTag w:uri="urn:schemas-microsoft-com:office:smarttags" w:element="PlaceName">
        <w:r w:rsidRPr="00002B9C">
          <w:rPr>
            <w:sz w:val="20"/>
            <w:szCs w:val="20"/>
          </w:rPr>
          <w:t>Shanghai</w:t>
        </w:r>
      </w:smartTag>
      <w:r w:rsidRPr="00002B9C">
        <w:rPr>
          <w:sz w:val="20"/>
          <w:szCs w:val="20"/>
        </w:rPr>
        <w:t xml:space="preserve"> </w:t>
      </w:r>
      <w:smartTag w:uri="urn:schemas-microsoft-com:office:smarttags" w:element="PlaceName">
        <w:r w:rsidRPr="00002B9C">
          <w:rPr>
            <w:sz w:val="20"/>
            <w:szCs w:val="20"/>
          </w:rPr>
          <w:t>Jiao</w:t>
        </w:r>
      </w:smartTag>
      <w:r w:rsidRPr="00002B9C">
        <w:rPr>
          <w:sz w:val="20"/>
          <w:szCs w:val="20"/>
        </w:rPr>
        <w:t xml:space="preserve"> </w:t>
      </w:r>
      <w:smartTag w:uri="urn:schemas-microsoft-com:office:smarttags" w:element="PlaceName">
        <w:r w:rsidRPr="00002B9C">
          <w:rPr>
            <w:sz w:val="20"/>
            <w:szCs w:val="20"/>
          </w:rPr>
          <w:t>Tong</w:t>
        </w:r>
      </w:smartTag>
      <w:r w:rsidRPr="00002B9C">
        <w:rPr>
          <w:sz w:val="20"/>
          <w:szCs w:val="20"/>
        </w:rPr>
        <w:t xml:space="preserve"> </w:t>
      </w:r>
      <w:smartTag w:uri="urn:schemas-microsoft-com:office:smarttags" w:element="PlaceType">
        <w:r w:rsidRPr="00002B9C">
          <w:rPr>
            <w:sz w:val="20"/>
            <w:szCs w:val="20"/>
          </w:rPr>
          <w:t>University</w:t>
        </w:r>
      </w:smartTag>
      <w:r w:rsidRPr="00002B9C">
        <w:rPr>
          <w:sz w:val="20"/>
          <w:szCs w:val="20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002B9C">
            <w:rPr>
              <w:sz w:val="20"/>
              <w:szCs w:val="20"/>
            </w:rPr>
            <w:t>Shanghai</w:t>
          </w:r>
        </w:smartTag>
      </w:smartTag>
      <w:r w:rsidRPr="00002B9C">
        <w:rPr>
          <w:sz w:val="20"/>
          <w:szCs w:val="20"/>
        </w:rPr>
        <w:t xml:space="preserve"> 200240, PR China</w:t>
      </w:r>
    </w:p>
    <w:p w:rsidR="00FD297B" w:rsidRDefault="00FD297B" w:rsidP="00FD297B">
      <w:pPr>
        <w:spacing w:line="480" w:lineRule="auto"/>
        <w:jc w:val="both"/>
        <w:rPr>
          <w:color w:val="000000"/>
          <w:sz w:val="20"/>
          <w:szCs w:val="20"/>
          <w:shd w:val="clear" w:color="auto" w:fill="FFFFFF"/>
        </w:rPr>
      </w:pPr>
    </w:p>
    <w:p w:rsidR="00FD297B" w:rsidRDefault="00FD297B" w:rsidP="00FD297B">
      <w:pPr>
        <w:spacing w:line="480" w:lineRule="auto"/>
        <w:jc w:val="both"/>
        <w:rPr>
          <w:color w:val="000000"/>
          <w:sz w:val="20"/>
          <w:szCs w:val="20"/>
          <w:shd w:val="clear" w:color="auto" w:fill="FFFFFF"/>
        </w:rPr>
      </w:pPr>
    </w:p>
    <w:p w:rsidR="00FD297B" w:rsidRDefault="00FD297B" w:rsidP="00FD297B">
      <w:pPr>
        <w:spacing w:line="480" w:lineRule="auto"/>
        <w:jc w:val="both"/>
        <w:rPr>
          <w:color w:val="000000"/>
          <w:sz w:val="20"/>
          <w:szCs w:val="20"/>
          <w:shd w:val="clear" w:color="auto" w:fill="FFFFFF"/>
          <w:lang w:eastAsia="zh-CN"/>
        </w:rPr>
      </w:pPr>
      <w:r w:rsidRPr="00002B9C">
        <w:rPr>
          <w:color w:val="000000"/>
          <w:sz w:val="20"/>
          <w:szCs w:val="20"/>
          <w:shd w:val="clear" w:color="auto" w:fill="FFFFFF"/>
        </w:rPr>
        <w:t>Human noroviruses (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HuNoV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) are highly-infectious viruses for which water is an important medium of transmission.  In this study, we explored a new </w:t>
      </w:r>
      <w:r w:rsidRPr="00EF70FD">
        <w:rPr>
          <w:i/>
          <w:color w:val="000000"/>
          <w:sz w:val="20"/>
          <w:szCs w:val="20"/>
          <w:shd w:val="clear" w:color="auto" w:fill="FFFFFF"/>
        </w:rPr>
        <w:t>In-Situ</w:t>
      </w:r>
      <w:r w:rsidRPr="00002B9C">
        <w:rPr>
          <w:color w:val="000000"/>
          <w:sz w:val="20"/>
          <w:szCs w:val="20"/>
          <w:shd w:val="clear" w:color="auto" w:fill="FFFFFF"/>
        </w:rPr>
        <w:t xml:space="preserve"> Capture RT-qPCR (ISC-RT-qPCR) methodology to estimate the infectivity of 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HuNoV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 in environmental water samples. This assay was based on capturing 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encapsidated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HuNoV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 by viral receptors, followed by </w:t>
      </w:r>
      <w:r w:rsidRPr="00002B9C">
        <w:rPr>
          <w:i/>
          <w:color w:val="000000"/>
          <w:sz w:val="20"/>
          <w:szCs w:val="20"/>
          <w:shd w:val="clear" w:color="auto" w:fill="FFFFFF"/>
        </w:rPr>
        <w:t>in situ</w:t>
      </w:r>
      <w:r w:rsidRPr="00002B9C">
        <w:rPr>
          <w:color w:val="000000"/>
          <w:sz w:val="20"/>
          <w:szCs w:val="20"/>
          <w:shd w:val="clear" w:color="auto" w:fill="FFFFFF"/>
        </w:rPr>
        <w:t xml:space="preserve"> amplification of the captured viral genomes by RT-qPCR.  We demonstrated that the ISC-RT-qPCR did not capture and enable signal amplification of heat-denatured </w:t>
      </w:r>
      <w:r w:rsidRPr="009B0C9A">
        <w:rPr>
          <w:sz w:val="20"/>
          <w:szCs w:val="20"/>
          <w:shd w:val="clear" w:color="auto" w:fill="FFFFFF"/>
        </w:rPr>
        <w:t>Tulane Virus (TV)</w:t>
      </w:r>
      <w:r w:rsidRPr="00002B9C">
        <w:rPr>
          <w:color w:val="000000"/>
          <w:sz w:val="20"/>
          <w:szCs w:val="20"/>
          <w:shd w:val="clear" w:color="auto" w:fill="FFFFFF"/>
        </w:rPr>
        <w:t xml:space="preserve"> and 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HuNoVs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.  We further demonstrated that the sensitivity of ISC-RT-qPCR was equal or better than that of conventional RT-qPCR procedures for the detection of 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HuNoV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 GI and GII.  We then utilized the ISC-RT-qPCR to detect 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HuNoV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 in environmental water samples for comparison against that from a conventional RT-qPCR procedure.  TV was used as a process control virus. While complete inhibition of TV genomic signal was observed in 27% of samples tested by RT-qPCR, no inhibition of TV genomic signal was observed by ISC-RT-qPCR.  From 72 samples tested positive for 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HuNoV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 GI signal by RT-qPCR, only 20 (27.8%) of these samples tested positive by ISC-RT-qPCR, suggesting that 72.2% of RT-qPCR-positive samples were unlikely to be infectious.  From 16 samples tested positive for 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HuNoV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 GII signal by RT-qPCR, only one of these samples tested positive by ISC-RT-qPCR.  Five samples that had initially tested negative for 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HuNoV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 GII signal by RT-qPCR, was tested as positive by ISC-RT-qPCR.  Overall, ISC-RT-qPCR method provided an alternative assay to estimate infectivity of </w:t>
      </w:r>
      <w:proofErr w:type="spellStart"/>
      <w:r w:rsidRPr="00002B9C">
        <w:rPr>
          <w:color w:val="000000"/>
          <w:sz w:val="20"/>
          <w:szCs w:val="20"/>
          <w:shd w:val="clear" w:color="auto" w:fill="FFFFFF"/>
        </w:rPr>
        <w:t>HuNoV</w:t>
      </w:r>
      <w:proofErr w:type="spellEnd"/>
      <w:r w:rsidRPr="00002B9C">
        <w:rPr>
          <w:color w:val="000000"/>
          <w:sz w:val="20"/>
          <w:szCs w:val="20"/>
          <w:shd w:val="clear" w:color="auto" w:fill="FFFFFF"/>
        </w:rPr>
        <w:t xml:space="preserve"> in environmental samples.</w:t>
      </w:r>
    </w:p>
    <w:p w:rsidR="005B2EEA" w:rsidRDefault="005B2EEA"/>
    <w:sectPr w:rsidR="005B2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7B"/>
    <w:rsid w:val="005B2EEA"/>
    <w:rsid w:val="00FD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6E464E-FC57-437A-BDFB-79C71480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97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FD29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Tian</dc:creator>
  <cp:keywords/>
  <dc:description/>
  <cp:lastModifiedBy>Peng Tian</cp:lastModifiedBy>
  <cp:revision>1</cp:revision>
  <dcterms:created xsi:type="dcterms:W3CDTF">2017-05-12T17:05:00Z</dcterms:created>
  <dcterms:modified xsi:type="dcterms:W3CDTF">2017-05-12T17:08:00Z</dcterms:modified>
</cp:coreProperties>
</file>