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E62" w:rsidRPr="00E37CC3" w:rsidRDefault="00501E62" w:rsidP="00501E62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E37CC3">
        <w:rPr>
          <w:rFonts w:asciiTheme="majorBidi" w:eastAsia="Calibri" w:hAnsiTheme="majorBidi" w:cstheme="majorBidi"/>
          <w:b/>
          <w:bCs/>
          <w:sz w:val="28"/>
          <w:szCs w:val="28"/>
        </w:rPr>
        <w:t>Commercial Polyester Fabric Repair of Abdominal</w:t>
      </w:r>
    </w:p>
    <w:p w:rsidR="00501E62" w:rsidRDefault="00501E62" w:rsidP="00501E62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E37CC3">
        <w:rPr>
          <w:rFonts w:asciiTheme="majorBidi" w:eastAsia="Calibri" w:hAnsiTheme="majorBidi" w:cstheme="majorBidi"/>
          <w:b/>
          <w:bCs/>
          <w:sz w:val="28"/>
          <w:szCs w:val="28"/>
        </w:rPr>
        <w:t>Defects and Hernias</w:t>
      </w:r>
    </w:p>
    <w:p w:rsidR="00501E62" w:rsidRPr="00E37CC3" w:rsidRDefault="00501E62" w:rsidP="00501E62">
      <w:pPr>
        <w:jc w:val="center"/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:rsidR="00501E62" w:rsidRDefault="00501E62" w:rsidP="00501E62">
      <w:pPr>
        <w:jc w:val="center"/>
        <w:rPr>
          <w:rFonts w:asciiTheme="minorBidi" w:eastAsia="Calibri" w:hAnsiTheme="minorBidi"/>
          <w:b/>
          <w:bCs/>
          <w:sz w:val="30"/>
        </w:rPr>
      </w:pPr>
      <w:proofErr w:type="spellStart"/>
      <w:r w:rsidRPr="00E37CC3">
        <w:rPr>
          <w:rFonts w:asciiTheme="majorBidi" w:eastAsia="Calibri" w:hAnsiTheme="majorBidi" w:cstheme="majorBidi"/>
          <w:b/>
          <w:bCs/>
          <w:sz w:val="28"/>
          <w:szCs w:val="28"/>
        </w:rPr>
        <w:t>M.Shokry</w:t>
      </w:r>
      <w:proofErr w:type="spellEnd"/>
    </w:p>
    <w:p w:rsidR="00501E62" w:rsidRDefault="00501E62" w:rsidP="00501E62">
      <w:pPr>
        <w:jc w:val="right"/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:rsidR="00951243" w:rsidRDefault="00501E62" w:rsidP="008B1A23">
      <w:pPr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sz w:val="28"/>
          <w:szCs w:val="28"/>
          <w:lang w:bidi="ar-EG"/>
        </w:rPr>
        <w:t xml:space="preserve">Hernias are common surgical affections of human and animals and their treatments may vary from simple </w:t>
      </w:r>
      <w:proofErr w:type="spellStart"/>
      <w:r>
        <w:rPr>
          <w:rFonts w:asciiTheme="majorBidi" w:hAnsiTheme="majorBidi" w:cstheme="majorBidi"/>
          <w:sz w:val="28"/>
          <w:szCs w:val="28"/>
          <w:lang w:bidi="ar-EG"/>
        </w:rPr>
        <w:t>herniorrhaphy</w:t>
      </w:r>
      <w:proofErr w:type="spellEnd"/>
      <w:r>
        <w:rPr>
          <w:rFonts w:asciiTheme="majorBidi" w:hAnsiTheme="majorBidi" w:cstheme="majorBidi"/>
          <w:sz w:val="28"/>
          <w:szCs w:val="28"/>
          <w:lang w:bidi="ar-EG"/>
        </w:rPr>
        <w:t xml:space="preserve"> to </w:t>
      </w:r>
      <w:proofErr w:type="spellStart"/>
      <w:r>
        <w:rPr>
          <w:rFonts w:asciiTheme="majorBidi" w:hAnsiTheme="majorBidi" w:cstheme="majorBidi"/>
          <w:sz w:val="28"/>
          <w:szCs w:val="28"/>
          <w:lang w:bidi="ar-EG"/>
        </w:rPr>
        <w:t>hernioplasty</w:t>
      </w:r>
      <w:proofErr w:type="spellEnd"/>
      <w:r>
        <w:rPr>
          <w:rFonts w:asciiTheme="majorBidi" w:hAnsiTheme="majorBidi" w:cstheme="majorBidi"/>
          <w:sz w:val="28"/>
          <w:szCs w:val="28"/>
          <w:lang w:bidi="ar-EG"/>
        </w:rPr>
        <w:t xml:space="preserve"> with prosthetic materials. This work was designed to study the feasibility of using commercial polyester fabric (CPF) as a prosthetic mesh </w:t>
      </w:r>
      <w:proofErr w:type="gramStart"/>
      <w:r>
        <w:rPr>
          <w:rFonts w:asciiTheme="majorBidi" w:hAnsiTheme="majorBidi" w:cstheme="majorBidi"/>
          <w:sz w:val="28"/>
          <w:szCs w:val="28"/>
          <w:lang w:bidi="ar-EG"/>
        </w:rPr>
        <w:t>for  reconstruction</w:t>
      </w:r>
      <w:proofErr w:type="gramEnd"/>
      <w:r>
        <w:rPr>
          <w:rFonts w:asciiTheme="majorBidi" w:hAnsiTheme="majorBidi" w:cstheme="majorBidi"/>
          <w:sz w:val="28"/>
          <w:szCs w:val="28"/>
          <w:lang w:bidi="ar-EG"/>
        </w:rPr>
        <w:t xml:space="preserve"> of abdominal hernias and defects in experimental and clinically affected animals. </w:t>
      </w:r>
    </w:p>
    <w:p w:rsidR="008B1A23" w:rsidRDefault="00501E62" w:rsidP="0094215D">
      <w:pPr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sz w:val="28"/>
          <w:szCs w:val="28"/>
          <w:lang w:bidi="ar-EG"/>
        </w:rPr>
        <w:t>The subjects of the experimental work were 12 dogs, 3 goats and 3 donkeys. Following anesthesia, an artificial abdominal defect</w:t>
      </w:r>
      <w:r w:rsidR="0055388E">
        <w:rPr>
          <w:rFonts w:asciiTheme="majorBidi" w:hAnsiTheme="majorBidi" w:cstheme="majorBidi"/>
          <w:sz w:val="28"/>
          <w:szCs w:val="28"/>
          <w:lang w:bidi="ar-EG"/>
        </w:rPr>
        <w:t>,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55388E">
        <w:rPr>
          <w:rFonts w:asciiTheme="majorBidi" w:hAnsiTheme="majorBidi" w:cstheme="majorBidi"/>
          <w:sz w:val="28"/>
          <w:szCs w:val="28"/>
          <w:lang w:bidi="ar-EG"/>
        </w:rPr>
        <w:t>measured 5X12 cm in dogs and goats and 12X20cm in the don</w:t>
      </w:r>
      <w:r w:rsidR="0055388E">
        <w:rPr>
          <w:rFonts w:asciiTheme="majorBidi" w:hAnsiTheme="majorBidi" w:cstheme="majorBidi"/>
          <w:sz w:val="28"/>
          <w:szCs w:val="28"/>
          <w:lang w:bidi="ar-EG"/>
        </w:rPr>
        <w:t>keys,</w:t>
      </w:r>
      <w:r w:rsidR="0055388E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55388E">
        <w:rPr>
          <w:rFonts w:asciiTheme="majorBidi" w:hAnsiTheme="majorBidi" w:cstheme="majorBidi"/>
          <w:sz w:val="28"/>
          <w:szCs w:val="28"/>
          <w:lang w:bidi="ar-EG"/>
        </w:rPr>
        <w:t>was produced by resection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of a piece of abdominal muscle in 3 different abdominal regions, such as the epigastrium (3 cases), the </w:t>
      </w:r>
      <w:proofErr w:type="spellStart"/>
      <w:r>
        <w:rPr>
          <w:rFonts w:asciiTheme="majorBidi" w:hAnsiTheme="majorBidi" w:cstheme="majorBidi"/>
          <w:sz w:val="28"/>
          <w:szCs w:val="28"/>
          <w:lang w:bidi="ar-EG"/>
        </w:rPr>
        <w:t>mesogastrium</w:t>
      </w:r>
      <w:proofErr w:type="spellEnd"/>
      <w:r>
        <w:rPr>
          <w:rFonts w:asciiTheme="majorBidi" w:hAnsiTheme="majorBidi" w:cstheme="majorBidi"/>
          <w:sz w:val="28"/>
          <w:szCs w:val="28"/>
          <w:lang w:bidi="ar-EG"/>
        </w:rPr>
        <w:t xml:space="preserve"> (12 cases) and the hypogastrium (3 cases)</w:t>
      </w:r>
      <w:r w:rsidR="0055388E">
        <w:rPr>
          <w:rFonts w:asciiTheme="majorBidi" w:hAnsiTheme="majorBidi" w:cstheme="majorBidi"/>
          <w:sz w:val="28"/>
          <w:szCs w:val="28"/>
          <w:lang w:bidi="ar-EG"/>
        </w:rPr>
        <w:t>.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An appropriate piece of sterilized CPF was implanted either in 2 layers in small animals or in 4 layers (folded) in large animals in the abdominal defects. The technique</w:t>
      </w:r>
      <w:r w:rsidR="0055388E">
        <w:rPr>
          <w:rFonts w:asciiTheme="majorBidi" w:hAnsiTheme="majorBidi" w:cstheme="majorBidi"/>
          <w:sz w:val="28"/>
          <w:szCs w:val="28"/>
          <w:lang w:bidi="ar-EG"/>
        </w:rPr>
        <w:t>s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of implantation used</w:t>
      </w:r>
      <w:r w:rsidR="0055388E">
        <w:rPr>
          <w:rFonts w:asciiTheme="majorBidi" w:hAnsiTheme="majorBidi" w:cstheme="majorBidi"/>
          <w:sz w:val="28"/>
          <w:szCs w:val="28"/>
          <w:lang w:bidi="ar-EG"/>
        </w:rPr>
        <w:t>,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were </w:t>
      </w:r>
      <w:proofErr w:type="spellStart"/>
      <w:r>
        <w:rPr>
          <w:rFonts w:asciiTheme="majorBidi" w:hAnsiTheme="majorBidi" w:cstheme="majorBidi"/>
          <w:sz w:val="28"/>
          <w:szCs w:val="28"/>
          <w:lang w:bidi="ar-EG"/>
        </w:rPr>
        <w:t>reteroperitoneal</w:t>
      </w:r>
      <w:proofErr w:type="spellEnd"/>
      <w:r>
        <w:rPr>
          <w:rFonts w:asciiTheme="majorBidi" w:hAnsiTheme="majorBidi" w:cstheme="majorBidi"/>
          <w:sz w:val="28"/>
          <w:szCs w:val="28"/>
          <w:lang w:bidi="ar-EG"/>
        </w:rPr>
        <w:t xml:space="preserve"> (6 cases)</w:t>
      </w:r>
      <w:r w:rsidR="009278ED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EG"/>
        </w:rPr>
        <w:t>in which the CPF was implanted between the internal rectus sheath and peritoneum, intra</w:t>
      </w:r>
      <w:r w:rsidR="009278ED">
        <w:rPr>
          <w:rFonts w:asciiTheme="majorBidi" w:hAnsiTheme="majorBidi" w:cstheme="majorBidi"/>
          <w:sz w:val="28"/>
          <w:szCs w:val="28"/>
          <w:lang w:bidi="ar-EG"/>
        </w:rPr>
        <w:t>-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peritoneal implantation either with (3 cases) or without (3 cases) </w:t>
      </w:r>
      <w:proofErr w:type="spellStart"/>
      <w:r>
        <w:rPr>
          <w:rFonts w:asciiTheme="majorBidi" w:hAnsiTheme="majorBidi" w:cstheme="majorBidi"/>
          <w:sz w:val="28"/>
          <w:szCs w:val="28"/>
          <w:lang w:bidi="ar-EG"/>
        </w:rPr>
        <w:t>omentalisation</w:t>
      </w:r>
      <w:proofErr w:type="spellEnd"/>
      <w:r>
        <w:rPr>
          <w:rFonts w:asciiTheme="majorBidi" w:hAnsiTheme="majorBidi" w:cstheme="majorBidi"/>
          <w:sz w:val="28"/>
          <w:szCs w:val="28"/>
          <w:lang w:bidi="ar-EG"/>
        </w:rPr>
        <w:t xml:space="preserve">; and double </w:t>
      </w:r>
      <w:proofErr w:type="spellStart"/>
      <w:r>
        <w:rPr>
          <w:rFonts w:asciiTheme="majorBidi" w:hAnsiTheme="majorBidi" w:cstheme="majorBidi"/>
          <w:sz w:val="28"/>
          <w:szCs w:val="28"/>
          <w:lang w:bidi="ar-EG"/>
        </w:rPr>
        <w:t>sandwish</w:t>
      </w:r>
      <w:proofErr w:type="spellEnd"/>
      <w:r>
        <w:rPr>
          <w:rFonts w:asciiTheme="majorBidi" w:hAnsiTheme="majorBidi" w:cstheme="majorBidi"/>
          <w:sz w:val="28"/>
          <w:szCs w:val="28"/>
          <w:lang w:bidi="ar-EG"/>
        </w:rPr>
        <w:t xml:space="preserve"> (3 cases) </w:t>
      </w:r>
      <w:r w:rsidR="0094215D">
        <w:rPr>
          <w:rFonts w:asciiTheme="majorBidi" w:hAnsiTheme="majorBidi" w:cstheme="majorBidi"/>
          <w:sz w:val="28"/>
          <w:szCs w:val="28"/>
          <w:lang w:bidi="ar-EG"/>
        </w:rPr>
        <w:t>using 2 layers.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Morphological and </w:t>
      </w:r>
      <w:proofErr w:type="spellStart"/>
      <w:r>
        <w:rPr>
          <w:rFonts w:asciiTheme="majorBidi" w:hAnsiTheme="majorBidi" w:cstheme="majorBidi"/>
          <w:sz w:val="28"/>
          <w:szCs w:val="28"/>
          <w:lang w:bidi="ar-EG"/>
        </w:rPr>
        <w:t>histo</w:t>
      </w:r>
      <w:proofErr w:type="spellEnd"/>
      <w:r w:rsidR="009278ED">
        <w:rPr>
          <w:rFonts w:asciiTheme="majorBidi" w:hAnsiTheme="majorBidi" w:cstheme="majorBidi"/>
          <w:sz w:val="28"/>
          <w:szCs w:val="28"/>
          <w:lang w:bidi="ar-EG"/>
        </w:rPr>
        <w:t>-</w:t>
      </w:r>
      <w:r>
        <w:rPr>
          <w:rFonts w:asciiTheme="majorBidi" w:hAnsiTheme="majorBidi" w:cstheme="majorBidi"/>
          <w:sz w:val="28"/>
          <w:szCs w:val="28"/>
          <w:lang w:bidi="ar-EG"/>
        </w:rPr>
        <w:t>pathological examinations were carried out on full thickness sections after euthanas</w:t>
      </w:r>
      <w:r w:rsidR="0055388E">
        <w:rPr>
          <w:rFonts w:asciiTheme="majorBidi" w:hAnsiTheme="majorBidi" w:cstheme="majorBidi"/>
          <w:sz w:val="28"/>
          <w:szCs w:val="28"/>
          <w:lang w:bidi="ar-EG"/>
        </w:rPr>
        <w:t xml:space="preserve">ia at 1, </w:t>
      </w:r>
      <w:proofErr w:type="gramStart"/>
      <w:r w:rsidR="0055388E">
        <w:rPr>
          <w:rFonts w:asciiTheme="majorBidi" w:hAnsiTheme="majorBidi" w:cstheme="majorBidi"/>
          <w:sz w:val="28"/>
          <w:szCs w:val="28"/>
          <w:lang w:bidi="ar-EG"/>
        </w:rPr>
        <w:t>2 ,3</w:t>
      </w:r>
      <w:proofErr w:type="gramEnd"/>
      <w:r w:rsidR="0055388E">
        <w:rPr>
          <w:rFonts w:asciiTheme="majorBidi" w:hAnsiTheme="majorBidi" w:cstheme="majorBidi"/>
          <w:sz w:val="28"/>
          <w:szCs w:val="28"/>
          <w:lang w:bidi="ar-EG"/>
        </w:rPr>
        <w:t xml:space="preserve"> ,4, 5 &amp; 6 months </w:t>
      </w:r>
      <w:r>
        <w:rPr>
          <w:rFonts w:asciiTheme="majorBidi" w:hAnsiTheme="majorBidi" w:cstheme="majorBidi"/>
          <w:sz w:val="28"/>
          <w:szCs w:val="28"/>
          <w:lang w:bidi="ar-EG"/>
        </w:rPr>
        <w:t>postoperatively.</w:t>
      </w:r>
      <w:r w:rsidR="005053E9">
        <w:rPr>
          <w:rFonts w:asciiTheme="majorBidi" w:hAnsiTheme="majorBidi" w:cstheme="majorBidi"/>
          <w:sz w:val="28"/>
          <w:szCs w:val="28"/>
          <w:lang w:bidi="ar-EG"/>
        </w:rPr>
        <w:t xml:space="preserve"> The Clinically affected cases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comprised </w:t>
      </w:r>
      <w:r w:rsidR="008B1A23">
        <w:rPr>
          <w:rFonts w:asciiTheme="majorBidi" w:hAnsiTheme="majorBidi" w:cstheme="majorBidi"/>
          <w:sz w:val="28"/>
          <w:szCs w:val="28"/>
          <w:lang w:bidi="ar-EG"/>
        </w:rPr>
        <w:t>different</w:t>
      </w:r>
      <w:r w:rsidR="0094215D">
        <w:rPr>
          <w:rFonts w:asciiTheme="majorBidi" w:hAnsiTheme="majorBidi" w:cstheme="majorBidi"/>
          <w:sz w:val="28"/>
          <w:szCs w:val="28"/>
          <w:lang w:bidi="ar-EG"/>
        </w:rPr>
        <w:t xml:space="preserve"> species of animals</w:t>
      </w:r>
      <w:r w:rsidR="008B1A23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94215D">
        <w:rPr>
          <w:rFonts w:asciiTheme="majorBidi" w:hAnsiTheme="majorBidi" w:cstheme="majorBidi"/>
          <w:sz w:val="28"/>
          <w:szCs w:val="28"/>
          <w:lang w:bidi="ar-EG"/>
        </w:rPr>
        <w:t>at different locations.</w:t>
      </w:r>
      <w:r w:rsidR="008B1A23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8B1A23">
        <w:rPr>
          <w:rFonts w:asciiTheme="majorBidi" w:hAnsiTheme="majorBidi" w:cstheme="majorBidi"/>
          <w:sz w:val="28"/>
          <w:szCs w:val="28"/>
          <w:lang w:bidi="ar-EG"/>
        </w:rPr>
        <w:t xml:space="preserve">Gross examination of the abdominal wall at the experimental implantation site at monthly intervals for 6 months showed the unaltered integrity of the CPF and uniform infiltration of the prosthetic material with a layer of white connective tissue of variable thickness (4 to 10 cm). Histological features correlated well with the gross examination. Complications related to </w:t>
      </w:r>
      <w:proofErr w:type="spellStart"/>
      <w:r w:rsidR="008B1A23">
        <w:rPr>
          <w:rFonts w:asciiTheme="majorBidi" w:hAnsiTheme="majorBidi" w:cstheme="majorBidi"/>
          <w:sz w:val="28"/>
          <w:szCs w:val="28"/>
          <w:lang w:bidi="ar-EG"/>
        </w:rPr>
        <w:t>herniorrhaphy</w:t>
      </w:r>
      <w:proofErr w:type="spellEnd"/>
      <w:r w:rsidR="008B1A23">
        <w:rPr>
          <w:rFonts w:asciiTheme="majorBidi" w:hAnsiTheme="majorBidi" w:cstheme="majorBidi"/>
          <w:sz w:val="28"/>
          <w:szCs w:val="28"/>
          <w:lang w:bidi="ar-EG"/>
        </w:rPr>
        <w:t xml:space="preserve"> in the clinical cases have been rarely serious.</w:t>
      </w:r>
      <w:r w:rsidR="008B1A23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94215D">
        <w:rPr>
          <w:rFonts w:asciiTheme="majorBidi" w:hAnsiTheme="majorBidi" w:cstheme="majorBidi"/>
          <w:sz w:val="28"/>
          <w:szCs w:val="28"/>
          <w:lang w:bidi="ar-EG"/>
        </w:rPr>
        <w:t>In conclusion,</w:t>
      </w:r>
      <w:r w:rsidR="009278ED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bookmarkStart w:id="0" w:name="_GoBack"/>
      <w:bookmarkEnd w:id="0"/>
      <w:r w:rsidR="008B1A23">
        <w:rPr>
          <w:rFonts w:asciiTheme="majorBidi" w:hAnsiTheme="majorBidi" w:cstheme="majorBidi"/>
          <w:sz w:val="28"/>
          <w:szCs w:val="28"/>
          <w:lang w:bidi="ar-EG"/>
        </w:rPr>
        <w:t>CPF has excellent biocompatibility and no adverse histological changes. Low cost CPF therefore offers a worthwhile alternative pr</w:t>
      </w:r>
      <w:r w:rsidR="0094215D">
        <w:rPr>
          <w:rFonts w:asciiTheme="majorBidi" w:hAnsiTheme="majorBidi" w:cstheme="majorBidi"/>
          <w:sz w:val="28"/>
          <w:szCs w:val="28"/>
          <w:lang w:bidi="ar-EG"/>
        </w:rPr>
        <w:t xml:space="preserve">osthesis for mesh </w:t>
      </w:r>
      <w:proofErr w:type="spellStart"/>
      <w:r w:rsidR="0094215D">
        <w:rPr>
          <w:rFonts w:asciiTheme="majorBidi" w:hAnsiTheme="majorBidi" w:cstheme="majorBidi"/>
          <w:sz w:val="28"/>
          <w:szCs w:val="28"/>
          <w:lang w:bidi="ar-EG"/>
        </w:rPr>
        <w:t>herniorrhaphy</w:t>
      </w:r>
      <w:proofErr w:type="spellEnd"/>
      <w:r w:rsidR="0094215D">
        <w:rPr>
          <w:rFonts w:asciiTheme="majorBidi" w:hAnsiTheme="majorBidi" w:cstheme="majorBidi"/>
          <w:sz w:val="28"/>
          <w:szCs w:val="28"/>
          <w:lang w:bidi="ar-EG"/>
        </w:rPr>
        <w:t>.</w:t>
      </w:r>
    </w:p>
    <w:p w:rsidR="0094215D" w:rsidRDefault="0094215D" w:rsidP="0094215D">
      <w:pPr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94215D">
        <w:rPr>
          <w:rFonts w:asciiTheme="majorBidi" w:hAnsiTheme="majorBidi" w:cstheme="majorBidi"/>
          <w:b/>
          <w:bCs/>
          <w:sz w:val="28"/>
          <w:szCs w:val="28"/>
          <w:lang w:bidi="ar-EG"/>
        </w:rPr>
        <w:t>Publications</w:t>
      </w:r>
    </w:p>
    <w:p w:rsidR="0094215D" w:rsidRPr="0094215D" w:rsidRDefault="003873A4" w:rsidP="0094215D">
      <w:pPr>
        <w:rPr>
          <w:rFonts w:asciiTheme="majorBidi" w:eastAsia="Calibri" w:hAnsiTheme="majorBidi" w:cstheme="majorBidi"/>
          <w:sz w:val="28"/>
          <w:szCs w:val="28"/>
        </w:rPr>
      </w:pPr>
      <w:proofErr w:type="spellStart"/>
      <w:r>
        <w:rPr>
          <w:rFonts w:asciiTheme="majorBidi" w:eastAsia="Calibri" w:hAnsiTheme="majorBidi" w:cstheme="majorBidi"/>
          <w:sz w:val="28"/>
          <w:szCs w:val="28"/>
        </w:rPr>
        <w:t>Shokry</w:t>
      </w:r>
      <w:proofErr w:type="spellEnd"/>
      <w:r>
        <w:rPr>
          <w:rFonts w:asciiTheme="majorBidi" w:eastAsia="Calibri" w:hAnsiTheme="majorBidi" w:cstheme="majorBidi"/>
          <w:sz w:val="28"/>
          <w:szCs w:val="28"/>
        </w:rPr>
        <w:t xml:space="preserve"> M, El-</w:t>
      </w:r>
      <w:proofErr w:type="spellStart"/>
      <w:r>
        <w:rPr>
          <w:rFonts w:asciiTheme="majorBidi" w:eastAsia="Calibri" w:hAnsiTheme="majorBidi" w:cstheme="majorBidi"/>
          <w:sz w:val="28"/>
          <w:szCs w:val="28"/>
        </w:rPr>
        <w:t>Keiey</w:t>
      </w:r>
      <w:proofErr w:type="spellEnd"/>
      <w:r>
        <w:rPr>
          <w:rFonts w:asciiTheme="majorBidi" w:eastAsia="Calibri" w:hAnsiTheme="majorBidi" w:cstheme="majorBidi"/>
          <w:sz w:val="28"/>
          <w:szCs w:val="28"/>
        </w:rPr>
        <w:t xml:space="preserve"> M, </w:t>
      </w:r>
      <w:proofErr w:type="spellStart"/>
      <w:r>
        <w:rPr>
          <w:rFonts w:asciiTheme="majorBidi" w:eastAsia="Calibri" w:hAnsiTheme="majorBidi" w:cstheme="majorBidi"/>
          <w:sz w:val="28"/>
          <w:szCs w:val="28"/>
        </w:rPr>
        <w:t>Hamouda</w:t>
      </w:r>
      <w:proofErr w:type="spellEnd"/>
      <w:r>
        <w:rPr>
          <w:rFonts w:asciiTheme="majorBidi" w:eastAsia="Calibri" w:hAnsiTheme="majorBidi" w:cstheme="majorBidi"/>
          <w:sz w:val="28"/>
          <w:szCs w:val="28"/>
        </w:rPr>
        <w:t xml:space="preserve"> M, </w:t>
      </w:r>
      <w:proofErr w:type="spellStart"/>
      <w:r>
        <w:rPr>
          <w:rFonts w:asciiTheme="majorBidi" w:eastAsia="Calibri" w:hAnsiTheme="majorBidi" w:cstheme="majorBidi"/>
          <w:sz w:val="28"/>
          <w:szCs w:val="28"/>
        </w:rPr>
        <w:t>Gadallah</w:t>
      </w:r>
      <w:proofErr w:type="spellEnd"/>
      <w:r>
        <w:rPr>
          <w:rFonts w:asciiTheme="majorBidi" w:eastAsia="Calibri" w:hAnsiTheme="majorBidi" w:cstheme="majorBidi"/>
          <w:sz w:val="28"/>
          <w:szCs w:val="28"/>
        </w:rPr>
        <w:t xml:space="preserve"> S (1997) Commercial polyester fabric repair of abdominal hernias and defects. Vet. Record 140: 606-607.</w:t>
      </w:r>
    </w:p>
    <w:p w:rsidR="008B1A23" w:rsidRDefault="008B1A23" w:rsidP="008B1A23">
      <w:pPr>
        <w:rPr>
          <w:rFonts w:asciiTheme="minorBidi" w:eastAsia="Calibri" w:hAnsiTheme="minorBidi"/>
          <w:b/>
          <w:bCs/>
          <w:sz w:val="30"/>
        </w:rPr>
      </w:pPr>
    </w:p>
    <w:p w:rsidR="008B1A23" w:rsidRDefault="008B1A23" w:rsidP="008B1A23">
      <w:pPr>
        <w:rPr>
          <w:rFonts w:asciiTheme="majorBidi" w:hAnsiTheme="majorBidi" w:cstheme="majorBidi"/>
          <w:sz w:val="28"/>
          <w:szCs w:val="28"/>
          <w:rtl/>
          <w:lang w:bidi="ar-EG"/>
        </w:rPr>
      </w:pPr>
    </w:p>
    <w:p w:rsidR="0094215D" w:rsidRPr="0094215D" w:rsidRDefault="0094215D" w:rsidP="0094215D">
      <w:pPr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94215D">
        <w:rPr>
          <w:rFonts w:asciiTheme="majorBidi" w:hAnsiTheme="majorBidi" w:cstheme="majorBidi"/>
          <w:b/>
          <w:bCs/>
          <w:sz w:val="28"/>
          <w:szCs w:val="28"/>
          <w:lang w:bidi="ar-EG"/>
        </w:rPr>
        <w:t>Image</w:t>
      </w:r>
    </w:p>
    <w:p w:rsidR="00CB2A60" w:rsidRDefault="0094215D" w:rsidP="00CB2A60">
      <w:pPr>
        <w:jc w:val="both"/>
        <w:rPr>
          <w:rFonts w:asciiTheme="majorBidi" w:hAnsiTheme="majorBidi" w:cstheme="majorBidi"/>
          <w:sz w:val="28"/>
          <w:szCs w:val="28"/>
          <w:lang w:bidi="ar-EG"/>
        </w:rPr>
      </w:pPr>
      <w:r w:rsidRPr="00CB2A60"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 wp14:anchorId="19E04E0F" wp14:editId="4D1F640C">
            <wp:extent cx="1952381" cy="3096260"/>
            <wp:effectExtent l="0" t="0" r="0" b="8890"/>
            <wp:docPr id="3" name="Picture 3" descr="C:\Users\shokry44\Documents\CPF for hernias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okry44\Documents\CPF for hernias - Copy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255" cy="3100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FB0" w:rsidRDefault="00515FB0" w:rsidP="007C4E63">
      <w:pPr>
        <w:rPr>
          <w:rFonts w:asciiTheme="majorBidi" w:hAnsiTheme="majorBidi" w:cstheme="majorBidi"/>
          <w:sz w:val="28"/>
          <w:szCs w:val="28"/>
          <w:lang w:bidi="ar-EG"/>
        </w:rPr>
      </w:pPr>
    </w:p>
    <w:p w:rsidR="00501E62" w:rsidRDefault="00CB2A60" w:rsidP="00CB2A60">
      <w:pPr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sz w:val="28"/>
          <w:szCs w:val="28"/>
          <w:lang w:bidi="ar-EG"/>
        </w:rPr>
        <w:t xml:space="preserve">Technique used for implantation of CPF mesh (a) retroperitoneal, (b) </w:t>
      </w:r>
      <w:proofErr w:type="spellStart"/>
      <w:r>
        <w:rPr>
          <w:rFonts w:asciiTheme="majorBidi" w:hAnsiTheme="majorBidi" w:cstheme="majorBidi"/>
          <w:sz w:val="28"/>
          <w:szCs w:val="28"/>
          <w:lang w:bidi="ar-EG"/>
        </w:rPr>
        <w:t>intraperitoneal</w:t>
      </w:r>
      <w:proofErr w:type="spellEnd"/>
      <w:r>
        <w:rPr>
          <w:rFonts w:asciiTheme="majorBidi" w:hAnsiTheme="majorBidi" w:cstheme="majorBidi"/>
          <w:sz w:val="28"/>
          <w:szCs w:val="28"/>
          <w:lang w:bidi="ar-EG"/>
        </w:rPr>
        <w:t>,</w:t>
      </w:r>
    </w:p>
    <w:p w:rsidR="00CB2A60" w:rsidRDefault="00CB2A60" w:rsidP="00CB2A60">
      <w:pPr>
        <w:rPr>
          <w:rFonts w:asciiTheme="majorBidi" w:hAnsiTheme="majorBidi" w:cstheme="majorBidi"/>
          <w:sz w:val="28"/>
          <w:szCs w:val="28"/>
          <w:lang w:bidi="ar-EG"/>
        </w:rPr>
      </w:pPr>
      <w:proofErr w:type="gramStart"/>
      <w:r>
        <w:rPr>
          <w:rFonts w:asciiTheme="majorBidi" w:hAnsiTheme="majorBidi" w:cstheme="majorBidi"/>
          <w:sz w:val="28"/>
          <w:szCs w:val="28"/>
          <w:lang w:bidi="ar-EG"/>
        </w:rPr>
        <w:t>( c</w:t>
      </w:r>
      <w:proofErr w:type="gramEnd"/>
      <w:r>
        <w:rPr>
          <w:rFonts w:asciiTheme="majorBidi" w:hAnsiTheme="majorBidi" w:cstheme="majorBidi"/>
          <w:sz w:val="28"/>
          <w:szCs w:val="28"/>
          <w:lang w:bidi="ar-EG"/>
        </w:rPr>
        <w:t xml:space="preserve"> ) double sandwich</w:t>
      </w:r>
    </w:p>
    <w:p w:rsidR="00951243" w:rsidRPr="00CB2A60" w:rsidRDefault="00951243" w:rsidP="00CB2A60">
      <w:pPr>
        <w:rPr>
          <w:rFonts w:asciiTheme="majorBidi" w:hAnsiTheme="majorBidi" w:cstheme="majorBidi"/>
          <w:sz w:val="28"/>
          <w:szCs w:val="28"/>
          <w:lang w:bidi="ar-EG"/>
        </w:rPr>
      </w:pPr>
    </w:p>
    <w:p w:rsidR="00501E62" w:rsidRDefault="00501E62" w:rsidP="00501E62">
      <w:pPr>
        <w:rPr>
          <w:rFonts w:asciiTheme="majorBidi" w:hAnsiTheme="majorBidi" w:cstheme="majorBidi"/>
          <w:sz w:val="28"/>
          <w:szCs w:val="28"/>
          <w:rtl/>
          <w:lang w:bidi="ar-EG"/>
        </w:rPr>
      </w:pPr>
    </w:p>
    <w:p w:rsidR="00501E62" w:rsidRDefault="00501E62" w:rsidP="00501E62">
      <w:pPr>
        <w:rPr>
          <w:rFonts w:asciiTheme="majorBidi" w:hAnsiTheme="majorBidi" w:cstheme="majorBidi"/>
          <w:sz w:val="28"/>
          <w:szCs w:val="28"/>
          <w:rtl/>
          <w:lang w:bidi="ar-EG"/>
        </w:rPr>
      </w:pPr>
    </w:p>
    <w:p w:rsidR="00501E62" w:rsidRDefault="00501E62" w:rsidP="00501E62">
      <w:pPr>
        <w:rPr>
          <w:rFonts w:asciiTheme="minorBidi" w:eastAsia="Calibri" w:hAnsiTheme="minorBidi"/>
          <w:b/>
          <w:bCs/>
          <w:sz w:val="30"/>
        </w:rPr>
      </w:pPr>
    </w:p>
    <w:p w:rsidR="00501E62" w:rsidRDefault="00501E62" w:rsidP="00501E62">
      <w:pPr>
        <w:rPr>
          <w:rFonts w:asciiTheme="minorBidi" w:eastAsia="Calibri" w:hAnsiTheme="minorBidi"/>
          <w:b/>
          <w:bCs/>
          <w:sz w:val="30"/>
        </w:rPr>
      </w:pPr>
      <w:r>
        <w:rPr>
          <w:b/>
          <w:bCs/>
          <w:noProof/>
        </w:rPr>
        <w:drawing>
          <wp:inline distT="0" distB="0" distL="0" distR="0">
            <wp:extent cx="541020" cy="731520"/>
            <wp:effectExtent l="0" t="0" r="0" b="0"/>
            <wp:docPr id="2" name="Picture 2" descr="photo smallest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oto smallest000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E3E37" w:rsidP="00501E62">
      <w:pPr>
        <w:rPr>
          <w:rFonts w:ascii="Arial"/>
          <w:sz w:val="21"/>
        </w:rPr>
      </w:pPr>
    </w:p>
    <w:p w:rsidR="00501E62" w:rsidRPr="000B4404" w:rsidRDefault="00501E62" w:rsidP="00501E62">
      <w:pPr>
        <w:rPr>
          <w:b/>
          <w:bCs/>
        </w:rPr>
      </w:pPr>
      <w:r w:rsidRPr="000B4404">
        <w:rPr>
          <w:b/>
          <w:bCs/>
        </w:rPr>
        <w:t xml:space="preserve">Professor Emeritus, </w:t>
      </w:r>
      <w:r>
        <w:rPr>
          <w:b/>
          <w:bCs/>
        </w:rPr>
        <w:t>Dept. of Vet</w:t>
      </w:r>
      <w:r w:rsidRPr="000B4404">
        <w:rPr>
          <w:b/>
          <w:bCs/>
        </w:rPr>
        <w:t xml:space="preserve"> Surgery, Faculty of Veterina</w:t>
      </w:r>
      <w:r>
        <w:rPr>
          <w:b/>
          <w:bCs/>
        </w:rPr>
        <w:t>ry Medicine,</w:t>
      </w:r>
      <w:r w:rsidRPr="000B4404">
        <w:rPr>
          <w:b/>
          <w:bCs/>
        </w:rPr>
        <w:t xml:space="preserve"> Cairo University</w:t>
      </w:r>
    </w:p>
    <w:p w:rsidR="00302C7A" w:rsidRDefault="00911700" w:rsidP="00302C7A">
      <w:pPr>
        <w:rPr>
          <w:b/>
          <w:bCs/>
        </w:rPr>
      </w:pPr>
      <w:hyperlink r:id="rId10" w:history="1">
        <w:r w:rsidR="00302C7A" w:rsidRPr="00A46E29">
          <w:rPr>
            <w:rStyle w:val="Hyperlink"/>
            <w:b/>
            <w:bCs/>
          </w:rPr>
          <w:t>http://scholar.cu.edu.eg/mshokry</w:t>
        </w:r>
      </w:hyperlink>
    </w:p>
    <w:p w:rsidR="007C4E63" w:rsidRDefault="00911700" w:rsidP="00302C7A">
      <w:pPr>
        <w:rPr>
          <w:b/>
          <w:bCs/>
        </w:rPr>
      </w:pPr>
      <w:hyperlink r:id="rId11" w:history="1">
        <w:r w:rsidR="007C4E63" w:rsidRPr="003803D4">
          <w:rPr>
            <w:rStyle w:val="Hyperlink"/>
            <w:b/>
            <w:bCs/>
          </w:rPr>
          <w:t>mshokry@cu.edu.eg</w:t>
        </w:r>
      </w:hyperlink>
    </w:p>
    <w:p w:rsidR="007C4E63" w:rsidRPr="00A46E29" w:rsidRDefault="007C4E63" w:rsidP="00302C7A">
      <w:pPr>
        <w:rPr>
          <w:b/>
          <w:bCs/>
        </w:rPr>
      </w:pPr>
    </w:p>
    <w:p w:rsidR="00501E62" w:rsidRPr="000B4404" w:rsidRDefault="00501E62" w:rsidP="00501E62">
      <w:pPr>
        <w:rPr>
          <w:b/>
          <w:bCs/>
        </w:rPr>
      </w:pPr>
    </w:p>
    <w:p w:rsidR="00501E62" w:rsidRDefault="00501E62" w:rsidP="00501E62">
      <w:pPr>
        <w:rPr>
          <w:rFonts w:ascii="Arial"/>
          <w:sz w:val="21"/>
        </w:rPr>
        <w:sectPr w:rsidR="00501E62">
          <w:headerReference w:type="default" r:id="rId12"/>
          <w:footerReference w:type="default" r:id="rId13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501E62" w:rsidRDefault="00501E62" w:rsidP="00501E62">
      <w:pPr>
        <w:jc w:val="right"/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:rsidR="00AE3E37" w:rsidRDefault="00A9710C" w:rsidP="00302C7A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55500E" w:rsidRPr="00E710F6">
          <w:rPr>
            <w:rStyle w:val="Hyperlink"/>
            <w:rFonts w:ascii="Arial"/>
            <w:sz w:val="14"/>
          </w:rPr>
          <w:t>mshokry@cu.edu.eg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6145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700" w:rsidRDefault="00911700">
      <w:r>
        <w:separator/>
      </w:r>
    </w:p>
  </w:endnote>
  <w:endnote w:type="continuationSeparator" w:id="0">
    <w:p w:rsidR="00911700" w:rsidRDefault="00911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997A2C0" wp14:editId="294B905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97A2C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2EE4036" wp14:editId="19223E3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EE4036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1B8D131" wp14:editId="3A3E142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B8D131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700" w:rsidRDefault="00911700">
      <w:r>
        <w:separator/>
      </w:r>
    </w:p>
  </w:footnote>
  <w:footnote w:type="continuationSeparator" w:id="0">
    <w:p w:rsidR="00911700" w:rsidRDefault="00911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5B65111" wp14:editId="6E50F39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B6511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29E79DF" wp14:editId="04B61D8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9E79DF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3340C29"/>
    <w:multiLevelType w:val="hybridMultilevel"/>
    <w:tmpl w:val="874CE218"/>
    <w:lvl w:ilvl="0" w:tplc="5740CDFA">
      <w:start w:val="1"/>
      <w:numFmt w:val="lowerLetter"/>
      <w:lvlText w:val="(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C0719"/>
    <w:rsid w:val="000E2911"/>
    <w:rsid w:val="001263DF"/>
    <w:rsid w:val="00284430"/>
    <w:rsid w:val="00292ED9"/>
    <w:rsid w:val="00302C7A"/>
    <w:rsid w:val="003224C7"/>
    <w:rsid w:val="003873A4"/>
    <w:rsid w:val="00404E5B"/>
    <w:rsid w:val="00414F7B"/>
    <w:rsid w:val="004355DC"/>
    <w:rsid w:val="004749B4"/>
    <w:rsid w:val="00494130"/>
    <w:rsid w:val="004F3523"/>
    <w:rsid w:val="00501E62"/>
    <w:rsid w:val="005053E9"/>
    <w:rsid w:val="00515FB0"/>
    <w:rsid w:val="0055388E"/>
    <w:rsid w:val="0055500E"/>
    <w:rsid w:val="005973B9"/>
    <w:rsid w:val="005B3A56"/>
    <w:rsid w:val="005D02C2"/>
    <w:rsid w:val="006060CE"/>
    <w:rsid w:val="0063497F"/>
    <w:rsid w:val="007C4E63"/>
    <w:rsid w:val="008058DA"/>
    <w:rsid w:val="00873DF0"/>
    <w:rsid w:val="008756E6"/>
    <w:rsid w:val="008B1A23"/>
    <w:rsid w:val="00911700"/>
    <w:rsid w:val="009278ED"/>
    <w:rsid w:val="0094215D"/>
    <w:rsid w:val="00951243"/>
    <w:rsid w:val="009B2D44"/>
    <w:rsid w:val="00A07E82"/>
    <w:rsid w:val="00A9710C"/>
    <w:rsid w:val="00AE3E37"/>
    <w:rsid w:val="00B21A57"/>
    <w:rsid w:val="00C33602"/>
    <w:rsid w:val="00C92A4C"/>
    <w:rsid w:val="00CB2A60"/>
    <w:rsid w:val="00CD6F55"/>
    <w:rsid w:val="00DE3104"/>
    <w:rsid w:val="00F72EEA"/>
    <w:rsid w:val="00F84CAE"/>
    <w:rsid w:val="00FA7E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DE54980-E5AD-4126-920E-F351B8EAA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hokry@cu.edu.e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scholar.cu.edu.eg/mshokr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mshokry@cu.edu.e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21FAE-C063-4A97-B16B-45E5CDCD3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shokry44</cp:lastModifiedBy>
  <cp:revision>11</cp:revision>
  <dcterms:created xsi:type="dcterms:W3CDTF">2017-03-31T12:23:00Z</dcterms:created>
  <dcterms:modified xsi:type="dcterms:W3CDTF">2017-10-27T11:19:00Z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