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B56" w:rsidRPr="00C64A53" w:rsidRDefault="00C64A53">
      <w:pPr>
        <w:rPr>
          <w:rFonts w:ascii="Minion Pro" w:hAnsi="Minion Pro"/>
          <w:b/>
          <w:color w:val="0070C0"/>
          <w:sz w:val="36"/>
          <w:szCs w:val="36"/>
        </w:rPr>
      </w:pPr>
      <w:r w:rsidRPr="00C64A53">
        <w:rPr>
          <w:rFonts w:ascii="Minion Pro" w:hAnsi="Minion Pro"/>
          <w:b/>
          <w:color w:val="0070C0"/>
          <w:sz w:val="36"/>
          <w:szCs w:val="36"/>
        </w:rPr>
        <w:t>A CYTOGENETIC STUDY OF SUSPECTED CASES OF DOWN SYNDROME IN NORTH INDIAN POPULATION</w:t>
      </w:r>
    </w:p>
    <w:p w:rsidR="00C64A53" w:rsidRDefault="00C64A53">
      <w:pPr>
        <w:rPr>
          <w:rFonts w:ascii="Arial" w:hAnsi="Arial" w:cs="Arial"/>
          <w:b/>
          <w:sz w:val="18"/>
          <w:szCs w:val="18"/>
        </w:rPr>
      </w:pPr>
      <w:proofErr w:type="spellStart"/>
      <w:r>
        <w:rPr>
          <w:rFonts w:ascii="Arial" w:hAnsi="Arial" w:cs="Arial"/>
          <w:b/>
          <w:sz w:val="18"/>
          <w:szCs w:val="18"/>
        </w:rPr>
        <w:t>Priyanka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Pandey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King George’s Medical University, </w:t>
      </w:r>
      <w:proofErr w:type="spellStart"/>
      <w:r>
        <w:rPr>
          <w:rFonts w:ascii="Arial" w:hAnsi="Arial" w:cs="Arial"/>
          <w:b/>
          <w:sz w:val="18"/>
          <w:szCs w:val="18"/>
        </w:rPr>
        <w:t>Lucknow</w:t>
      </w:r>
      <w:proofErr w:type="spellEnd"/>
      <w:r>
        <w:rPr>
          <w:rFonts w:ascii="Arial" w:hAnsi="Arial" w:cs="Arial"/>
          <w:b/>
          <w:sz w:val="18"/>
          <w:szCs w:val="18"/>
        </w:rPr>
        <w:t>, Uttar Pradesh, India</w:t>
      </w:r>
    </w:p>
    <w:p w:rsidR="00C64A53" w:rsidRDefault="00C64A53">
      <w:pPr>
        <w:rPr>
          <w:rFonts w:ascii="Arial" w:hAnsi="Arial" w:cs="Arial"/>
          <w:b/>
          <w:sz w:val="18"/>
          <w:szCs w:val="18"/>
        </w:rPr>
      </w:pPr>
    </w:p>
    <w:p w:rsidR="008846B0" w:rsidRDefault="00C64A53" w:rsidP="00782C09">
      <w:pPr>
        <w:rPr>
          <w:rFonts w:ascii="Tw Cen MT" w:hAnsi="Tw Cen MT" w:cs="Arial"/>
          <w:sz w:val="18"/>
          <w:szCs w:val="18"/>
        </w:rPr>
      </w:pPr>
      <w:r>
        <w:rPr>
          <w:rFonts w:ascii="Tw Cen MT" w:hAnsi="Tw Cen MT" w:cs="Arial"/>
          <w:sz w:val="18"/>
          <w:szCs w:val="18"/>
        </w:rPr>
        <w:t>Statement of the problem:</w:t>
      </w:r>
      <w:r w:rsidR="008846B0">
        <w:rPr>
          <w:rFonts w:ascii="Tw Cen MT" w:hAnsi="Tw Cen MT" w:cs="Arial"/>
          <w:sz w:val="18"/>
          <w:szCs w:val="18"/>
        </w:rPr>
        <w:t xml:space="preserve"> Down </w:t>
      </w:r>
      <w:r w:rsidR="00782C09">
        <w:rPr>
          <w:rFonts w:ascii="Tw Cen MT" w:hAnsi="Tw Cen MT" w:cs="Arial"/>
          <w:sz w:val="18"/>
          <w:szCs w:val="18"/>
        </w:rPr>
        <w:t>syndrome</w:t>
      </w:r>
      <w:r w:rsidR="008846B0" w:rsidRPr="008846B0">
        <w:rPr>
          <w:rFonts w:ascii="Tw Cen MT" w:hAnsi="Tw Cen MT" w:cs="Arial"/>
          <w:sz w:val="18"/>
          <w:szCs w:val="18"/>
        </w:rPr>
        <w:t xml:space="preserve"> constitute</w:t>
      </w:r>
      <w:r w:rsidR="008846B0">
        <w:rPr>
          <w:rFonts w:ascii="Tw Cen MT" w:hAnsi="Tw Cen MT" w:cs="Arial"/>
          <w:sz w:val="18"/>
          <w:szCs w:val="18"/>
        </w:rPr>
        <w:t>s</w:t>
      </w:r>
      <w:r w:rsidR="008846B0" w:rsidRPr="008846B0">
        <w:rPr>
          <w:rFonts w:ascii="Tw Cen MT" w:hAnsi="Tw Cen MT" w:cs="Arial"/>
          <w:sz w:val="18"/>
          <w:szCs w:val="18"/>
        </w:rPr>
        <w:t xml:space="preserve"> the most common chromosomal abnormality among live births (</w:t>
      </w:r>
      <w:smartTag w:uri="urn:schemas-microsoft-com:office:smarttags" w:element="metricconverter">
        <w:smartTagPr>
          <w:attr w:name="ProductID" w:val="1 in"/>
        </w:smartTagPr>
        <w:r w:rsidR="008846B0" w:rsidRPr="008846B0">
          <w:rPr>
            <w:rFonts w:ascii="Tw Cen MT" w:hAnsi="Tw Cen MT" w:cs="Arial"/>
            <w:sz w:val="18"/>
            <w:szCs w:val="18"/>
          </w:rPr>
          <w:t>1 in</w:t>
        </w:r>
      </w:smartTag>
      <w:r w:rsidR="00782C09">
        <w:rPr>
          <w:rFonts w:ascii="Tw Cen MT" w:hAnsi="Tw Cen MT" w:cs="Arial"/>
          <w:sz w:val="18"/>
          <w:szCs w:val="18"/>
        </w:rPr>
        <w:t xml:space="preserve"> 730 live births) and </w:t>
      </w:r>
      <w:r w:rsidR="008846B0" w:rsidRPr="008846B0">
        <w:rPr>
          <w:rFonts w:ascii="Tw Cen MT" w:hAnsi="Tw Cen MT" w:cs="Arial"/>
          <w:sz w:val="18"/>
          <w:szCs w:val="18"/>
        </w:rPr>
        <w:t>most frequent form o</w:t>
      </w:r>
      <w:r w:rsidR="00757CFE">
        <w:rPr>
          <w:rFonts w:ascii="Tw Cen MT" w:hAnsi="Tw Cen MT" w:cs="Arial"/>
          <w:sz w:val="18"/>
          <w:szCs w:val="18"/>
        </w:rPr>
        <w:t>f intellectual disability</w:t>
      </w:r>
      <w:r w:rsidR="008846B0">
        <w:rPr>
          <w:rFonts w:ascii="Tw Cen MT" w:hAnsi="Tw Cen MT" w:cs="Arial"/>
          <w:sz w:val="18"/>
          <w:szCs w:val="18"/>
        </w:rPr>
        <w:t>.</w:t>
      </w:r>
      <w:r w:rsidR="00757CFE">
        <w:rPr>
          <w:rFonts w:ascii="Tw Cen MT" w:hAnsi="Tw Cen MT" w:cs="Arial"/>
          <w:sz w:val="18"/>
          <w:szCs w:val="18"/>
        </w:rPr>
        <w:t xml:space="preserve"> </w:t>
      </w:r>
      <w:r w:rsidR="008846B0" w:rsidRPr="008846B0">
        <w:rPr>
          <w:rFonts w:ascii="Tw Cen MT" w:hAnsi="Tw Cen MT" w:cs="Arial"/>
          <w:sz w:val="18"/>
          <w:szCs w:val="18"/>
        </w:rPr>
        <w:t>Genetic cause for this syndrome is trisomy of chromosome 21</w:t>
      </w:r>
      <w:r w:rsidR="008846B0" w:rsidRPr="008846B0">
        <w:rPr>
          <w:rFonts w:ascii="Tw Cen MT" w:hAnsi="Tw Cen MT" w:cs="Arial"/>
          <w:b/>
          <w:sz w:val="18"/>
          <w:szCs w:val="18"/>
        </w:rPr>
        <w:t xml:space="preserve">. </w:t>
      </w:r>
      <w:r w:rsidR="008846B0" w:rsidRPr="008846B0">
        <w:rPr>
          <w:rFonts w:ascii="Tw Cen MT" w:hAnsi="Tw Cen MT" w:cs="Arial"/>
          <w:sz w:val="18"/>
          <w:szCs w:val="18"/>
        </w:rPr>
        <w:t xml:space="preserve">The cytogenetic profile of </w:t>
      </w:r>
      <w:r w:rsidR="008846B0">
        <w:rPr>
          <w:rFonts w:ascii="Tw Cen MT" w:hAnsi="Tw Cen MT" w:cs="Arial"/>
          <w:sz w:val="18"/>
          <w:szCs w:val="18"/>
        </w:rPr>
        <w:t>D</w:t>
      </w:r>
      <w:r w:rsidR="008846B0" w:rsidRPr="008846B0">
        <w:rPr>
          <w:rFonts w:ascii="Tw Cen MT" w:hAnsi="Tw Cen MT" w:cs="Arial"/>
          <w:sz w:val="18"/>
          <w:szCs w:val="18"/>
        </w:rPr>
        <w:t xml:space="preserve">own syndrome includes free trisomy 21, </w:t>
      </w:r>
      <w:proofErr w:type="spellStart"/>
      <w:r w:rsidR="008846B0" w:rsidRPr="008846B0">
        <w:rPr>
          <w:rFonts w:ascii="Tw Cen MT" w:hAnsi="Tw Cen MT" w:cs="Arial"/>
          <w:sz w:val="18"/>
          <w:szCs w:val="18"/>
        </w:rPr>
        <w:t>Robertsonian</w:t>
      </w:r>
      <w:proofErr w:type="spellEnd"/>
      <w:r w:rsidR="008846B0" w:rsidRPr="008846B0">
        <w:rPr>
          <w:rFonts w:ascii="Tw Cen MT" w:hAnsi="Tw Cen MT" w:cs="Arial"/>
          <w:sz w:val="18"/>
          <w:szCs w:val="18"/>
        </w:rPr>
        <w:t xml:space="preserve"> translocations, </w:t>
      </w:r>
      <w:proofErr w:type="spellStart"/>
      <w:r w:rsidR="008846B0" w:rsidRPr="008846B0">
        <w:rPr>
          <w:rFonts w:ascii="Tw Cen MT" w:hAnsi="Tw Cen MT" w:cs="Arial"/>
          <w:sz w:val="18"/>
          <w:szCs w:val="18"/>
        </w:rPr>
        <w:t>mosaicism</w:t>
      </w:r>
      <w:proofErr w:type="spellEnd"/>
      <w:r w:rsidR="008846B0" w:rsidRPr="008846B0">
        <w:rPr>
          <w:rFonts w:ascii="Tw Cen MT" w:hAnsi="Tw Cen MT" w:cs="Arial"/>
          <w:sz w:val="18"/>
          <w:szCs w:val="18"/>
        </w:rPr>
        <w:t>, duplication of the DS critical region and other structural rearra</w:t>
      </w:r>
      <w:r w:rsidR="008846B0">
        <w:rPr>
          <w:rFonts w:ascii="Tw Cen MT" w:hAnsi="Tw Cen MT" w:cs="Arial"/>
          <w:sz w:val="18"/>
          <w:szCs w:val="18"/>
        </w:rPr>
        <w:t xml:space="preserve">ngements involving chromosome 21. Purpose of the study was to </w:t>
      </w:r>
      <w:r w:rsidR="008846B0" w:rsidRPr="008846B0">
        <w:rPr>
          <w:rFonts w:ascii="Tw Cen MT" w:hAnsi="Tw Cen MT" w:cs="Arial"/>
          <w:sz w:val="18"/>
          <w:szCs w:val="18"/>
        </w:rPr>
        <w:t>confirm the clinical diagnosis of sus</w:t>
      </w:r>
      <w:r w:rsidR="008846B0">
        <w:rPr>
          <w:rFonts w:ascii="Tw Cen MT" w:hAnsi="Tw Cen MT" w:cs="Arial"/>
          <w:sz w:val="18"/>
          <w:szCs w:val="18"/>
        </w:rPr>
        <w:t xml:space="preserve">pected cases </w:t>
      </w:r>
      <w:r w:rsidR="00F67B67">
        <w:rPr>
          <w:rFonts w:ascii="Tw Cen MT" w:hAnsi="Tw Cen MT" w:cs="Arial"/>
          <w:sz w:val="18"/>
          <w:szCs w:val="18"/>
        </w:rPr>
        <w:t>of</w:t>
      </w:r>
      <w:r w:rsidR="008846B0">
        <w:rPr>
          <w:rFonts w:ascii="Tw Cen MT" w:hAnsi="Tw Cen MT" w:cs="Arial"/>
          <w:sz w:val="18"/>
          <w:szCs w:val="18"/>
        </w:rPr>
        <w:t xml:space="preserve"> Down syndrome </w:t>
      </w:r>
      <w:r w:rsidR="008846B0" w:rsidRPr="008846B0">
        <w:rPr>
          <w:rFonts w:ascii="Tw Cen MT" w:hAnsi="Tw Cen MT" w:cs="Arial"/>
          <w:sz w:val="18"/>
          <w:szCs w:val="18"/>
        </w:rPr>
        <w:t xml:space="preserve">by </w:t>
      </w:r>
      <w:r w:rsidR="008846B0">
        <w:rPr>
          <w:rFonts w:ascii="Tw Cen MT" w:hAnsi="Tw Cen MT" w:cs="Arial"/>
          <w:sz w:val="18"/>
          <w:szCs w:val="18"/>
        </w:rPr>
        <w:t>karyotyping</w:t>
      </w:r>
      <w:r w:rsidR="008846B0" w:rsidRPr="008846B0">
        <w:rPr>
          <w:rFonts w:ascii="Tw Cen MT" w:hAnsi="Tw Cen MT" w:cs="Arial"/>
          <w:sz w:val="18"/>
          <w:szCs w:val="18"/>
        </w:rPr>
        <w:t xml:space="preserve"> and to evaluate several risk factors associated with trisomy</w:t>
      </w:r>
      <w:r w:rsidR="008846B0">
        <w:rPr>
          <w:rFonts w:ascii="Tw Cen MT" w:hAnsi="Tw Cen MT" w:cs="Arial"/>
          <w:sz w:val="18"/>
          <w:szCs w:val="18"/>
        </w:rPr>
        <w:t xml:space="preserve"> 21 </w:t>
      </w:r>
      <w:r w:rsidR="00F67B67">
        <w:rPr>
          <w:rFonts w:ascii="Tw Cen MT" w:hAnsi="Tw Cen MT" w:cs="Arial"/>
          <w:sz w:val="18"/>
          <w:szCs w:val="18"/>
        </w:rPr>
        <w:t xml:space="preserve">among </w:t>
      </w:r>
      <w:r w:rsidR="008846B0">
        <w:rPr>
          <w:rFonts w:ascii="Tw Cen MT" w:hAnsi="Tw Cen MT" w:cs="Arial"/>
          <w:sz w:val="18"/>
          <w:szCs w:val="18"/>
        </w:rPr>
        <w:t>patient</w:t>
      </w:r>
      <w:r w:rsidR="00F67B67">
        <w:rPr>
          <w:rFonts w:ascii="Tw Cen MT" w:hAnsi="Tw Cen MT" w:cs="Arial"/>
          <w:sz w:val="18"/>
          <w:szCs w:val="18"/>
        </w:rPr>
        <w:t>s</w:t>
      </w:r>
      <w:r w:rsidR="008846B0">
        <w:rPr>
          <w:rFonts w:ascii="Tw Cen MT" w:hAnsi="Tw Cen MT" w:cs="Arial"/>
          <w:sz w:val="18"/>
          <w:szCs w:val="18"/>
        </w:rPr>
        <w:t xml:space="preserve"> </w:t>
      </w:r>
      <w:r w:rsidR="00F67B67">
        <w:rPr>
          <w:rFonts w:ascii="Tw Cen MT" w:hAnsi="Tw Cen MT" w:cs="Arial"/>
          <w:sz w:val="18"/>
          <w:szCs w:val="18"/>
        </w:rPr>
        <w:t xml:space="preserve">belonging to North Indian population. Methodology: Karyotype analysis was done in 52 </w:t>
      </w:r>
      <w:r w:rsidR="009F3883">
        <w:rPr>
          <w:rFonts w:ascii="Tw Cen MT" w:hAnsi="Tw Cen MT" w:cs="Arial"/>
          <w:sz w:val="18"/>
          <w:szCs w:val="18"/>
        </w:rPr>
        <w:t>patients</w:t>
      </w:r>
      <w:r w:rsidR="00F67B67">
        <w:rPr>
          <w:rFonts w:ascii="Tw Cen MT" w:hAnsi="Tw Cen MT" w:cs="Arial"/>
          <w:sz w:val="18"/>
          <w:szCs w:val="18"/>
        </w:rPr>
        <w:t xml:space="preserve"> </w:t>
      </w:r>
      <w:r w:rsidR="009F3883">
        <w:rPr>
          <w:rFonts w:ascii="Tw Cen MT" w:hAnsi="Tw Cen MT" w:cs="Arial"/>
          <w:sz w:val="18"/>
          <w:szCs w:val="18"/>
        </w:rPr>
        <w:t>with clinical suspicion</w:t>
      </w:r>
      <w:r w:rsidR="00F67B67">
        <w:rPr>
          <w:rFonts w:ascii="Tw Cen MT" w:hAnsi="Tw Cen MT" w:cs="Arial"/>
          <w:sz w:val="18"/>
          <w:szCs w:val="18"/>
        </w:rPr>
        <w:t xml:space="preserve"> of Down syndrome</w:t>
      </w:r>
      <w:r w:rsidR="009F3883">
        <w:rPr>
          <w:rFonts w:ascii="Tw Cen MT" w:hAnsi="Tw Cen MT" w:cs="Arial"/>
          <w:sz w:val="18"/>
          <w:szCs w:val="18"/>
        </w:rPr>
        <w:t xml:space="preserve">. GTG banding was done according to standard protocols. Findings: </w:t>
      </w:r>
      <w:r w:rsidR="009F3883" w:rsidRPr="009F3883">
        <w:rPr>
          <w:rFonts w:ascii="Tw Cen MT" w:hAnsi="Tw Cen MT" w:cs="Arial"/>
          <w:sz w:val="18"/>
          <w:szCs w:val="18"/>
        </w:rPr>
        <w:t xml:space="preserve">Out of a total of 52 patients enrolled, </w:t>
      </w:r>
      <w:proofErr w:type="spellStart"/>
      <w:r w:rsidR="009F3883" w:rsidRPr="009F3883">
        <w:rPr>
          <w:rFonts w:ascii="Tw Cen MT" w:hAnsi="Tw Cen MT" w:cs="Arial"/>
          <w:sz w:val="18"/>
          <w:szCs w:val="18"/>
        </w:rPr>
        <w:t>karyogram</w:t>
      </w:r>
      <w:proofErr w:type="spellEnd"/>
      <w:r w:rsidR="009F3883" w:rsidRPr="009F3883">
        <w:rPr>
          <w:rFonts w:ascii="Tw Cen MT" w:hAnsi="Tw Cen MT" w:cs="Arial"/>
          <w:sz w:val="18"/>
          <w:szCs w:val="18"/>
        </w:rPr>
        <w:t xml:space="preserve"> could </w:t>
      </w:r>
      <w:r w:rsidR="009F3883">
        <w:rPr>
          <w:rFonts w:ascii="Tw Cen MT" w:hAnsi="Tw Cen MT" w:cs="Arial"/>
          <w:sz w:val="18"/>
          <w:szCs w:val="18"/>
        </w:rPr>
        <w:t xml:space="preserve">be successfully obtained in </w:t>
      </w:r>
      <w:r w:rsidR="009F3883" w:rsidRPr="009F3883">
        <w:rPr>
          <w:rFonts w:ascii="Tw Cen MT" w:hAnsi="Tw Cen MT" w:cs="Arial"/>
          <w:sz w:val="18"/>
          <w:szCs w:val="18"/>
        </w:rPr>
        <w:t>46 (88.5%) cases</w:t>
      </w:r>
      <w:r w:rsidR="009F3883">
        <w:rPr>
          <w:rFonts w:ascii="Tw Cen MT" w:hAnsi="Tw Cen MT" w:cs="Arial"/>
          <w:sz w:val="18"/>
          <w:szCs w:val="18"/>
        </w:rPr>
        <w:t>.</w:t>
      </w:r>
      <w:r w:rsidR="009F3883" w:rsidRPr="009F3883">
        <w:t xml:space="preserve"> </w:t>
      </w:r>
      <w:r w:rsidR="009F3883" w:rsidRPr="009F3883">
        <w:rPr>
          <w:rFonts w:ascii="Tw Cen MT" w:hAnsi="Tw Cen MT" w:cs="Arial"/>
          <w:sz w:val="18"/>
          <w:szCs w:val="18"/>
        </w:rPr>
        <w:t xml:space="preserve">Out of 46 cases in whom </w:t>
      </w:r>
      <w:proofErr w:type="spellStart"/>
      <w:r w:rsidR="009F3883" w:rsidRPr="009F3883">
        <w:rPr>
          <w:rFonts w:ascii="Tw Cen MT" w:hAnsi="Tw Cen MT" w:cs="Arial"/>
          <w:sz w:val="18"/>
          <w:szCs w:val="18"/>
        </w:rPr>
        <w:t>karyogram</w:t>
      </w:r>
      <w:proofErr w:type="spellEnd"/>
      <w:r w:rsidR="009F3883" w:rsidRPr="009F3883">
        <w:rPr>
          <w:rFonts w:ascii="Tw Cen MT" w:hAnsi="Tw Cen MT" w:cs="Arial"/>
          <w:sz w:val="18"/>
          <w:szCs w:val="18"/>
        </w:rPr>
        <w:t xml:space="preserve"> was observed, 43 (93.5%) had abnormal </w:t>
      </w:r>
      <w:proofErr w:type="spellStart"/>
      <w:r w:rsidR="009F3883" w:rsidRPr="009F3883">
        <w:rPr>
          <w:rFonts w:ascii="Tw Cen MT" w:hAnsi="Tw Cen MT" w:cs="Arial"/>
          <w:sz w:val="18"/>
          <w:szCs w:val="18"/>
        </w:rPr>
        <w:t>karyogram</w:t>
      </w:r>
      <w:proofErr w:type="spellEnd"/>
      <w:r w:rsidR="009F3883" w:rsidRPr="009F3883">
        <w:rPr>
          <w:rFonts w:ascii="Tw Cen MT" w:hAnsi="Tw Cen MT" w:cs="Arial"/>
          <w:sz w:val="18"/>
          <w:szCs w:val="18"/>
        </w:rPr>
        <w:t>. All these 43 cases had Trisomy 21 (Down’s syndrome).</w:t>
      </w:r>
      <w:r w:rsidR="00782C09" w:rsidRPr="00782C09">
        <w:t xml:space="preserve"> </w:t>
      </w:r>
      <w:r w:rsidR="00782C09" w:rsidRPr="00782C09">
        <w:rPr>
          <w:rFonts w:ascii="Tw Cen MT" w:hAnsi="Tw Cen MT" w:cs="Arial"/>
          <w:sz w:val="18"/>
          <w:szCs w:val="18"/>
        </w:rPr>
        <w:t xml:space="preserve">Among patients with Down syndrome, free trisomy (n=40; 93%) was most common followed by </w:t>
      </w:r>
      <w:proofErr w:type="spellStart"/>
      <w:r w:rsidR="00782C09" w:rsidRPr="00782C09">
        <w:rPr>
          <w:rFonts w:ascii="Tw Cen MT" w:hAnsi="Tw Cen MT" w:cs="Arial"/>
          <w:sz w:val="18"/>
          <w:szCs w:val="18"/>
        </w:rPr>
        <w:t>Robertsonian</w:t>
      </w:r>
      <w:proofErr w:type="spellEnd"/>
      <w:r w:rsidR="00782C09" w:rsidRPr="00782C09">
        <w:rPr>
          <w:rFonts w:ascii="Tw Cen MT" w:hAnsi="Tw Cen MT" w:cs="Arial"/>
          <w:sz w:val="18"/>
          <w:szCs w:val="18"/>
        </w:rPr>
        <w:t xml:space="preserve"> translocation (n=2; 4.7%) and Mosaic trisomy (n=1; 2.3%) respectively</w:t>
      </w:r>
      <w:r w:rsidR="00782C09">
        <w:rPr>
          <w:rFonts w:ascii="Tw Cen MT" w:hAnsi="Tw Cen MT" w:cs="Arial"/>
          <w:sz w:val="18"/>
          <w:szCs w:val="18"/>
        </w:rPr>
        <w:t>.</w:t>
      </w:r>
      <w:r w:rsidR="00782C09" w:rsidRPr="00782C09">
        <w:t xml:space="preserve"> </w:t>
      </w:r>
      <w:r w:rsidR="00782C09" w:rsidRPr="00782C09">
        <w:rPr>
          <w:rFonts w:ascii="Tw Cen MT" w:hAnsi="Tw Cen MT" w:cs="Arial"/>
          <w:sz w:val="18"/>
          <w:szCs w:val="18"/>
        </w:rPr>
        <w:t>Majority of pat</w:t>
      </w:r>
      <w:r w:rsidR="00782C09">
        <w:rPr>
          <w:rFonts w:ascii="Tw Cen MT" w:hAnsi="Tw Cen MT" w:cs="Arial"/>
          <w:sz w:val="18"/>
          <w:szCs w:val="18"/>
        </w:rPr>
        <w:t>ients were males (n=30; 65.2%) and t</w:t>
      </w:r>
      <w:r w:rsidR="00782C09" w:rsidRPr="00782C09">
        <w:rPr>
          <w:rFonts w:ascii="Tw Cen MT" w:hAnsi="Tw Cen MT" w:cs="Arial"/>
          <w:sz w:val="18"/>
          <w:szCs w:val="18"/>
        </w:rPr>
        <w:t>here were 16 (34.8%) females</w:t>
      </w:r>
      <w:r w:rsidR="00782C09">
        <w:rPr>
          <w:rFonts w:ascii="Tw Cen MT" w:hAnsi="Tw Cen MT" w:cs="Arial"/>
          <w:sz w:val="18"/>
          <w:szCs w:val="18"/>
        </w:rPr>
        <w:t>.</w:t>
      </w:r>
      <w:r w:rsidR="00782C09" w:rsidRPr="00782C09">
        <w:rPr>
          <w:rFonts w:ascii="Tw Cen MT" w:hAnsi="Tw Cen MT" w:cs="Arial"/>
          <w:sz w:val="18"/>
          <w:szCs w:val="18"/>
        </w:rPr>
        <w:t xml:space="preserve"> Male to female ratio of </w:t>
      </w:r>
      <w:r w:rsidR="00782C09">
        <w:rPr>
          <w:rFonts w:ascii="Tw Cen MT" w:hAnsi="Tw Cen MT" w:cs="Arial"/>
          <w:sz w:val="18"/>
          <w:szCs w:val="18"/>
        </w:rPr>
        <w:t xml:space="preserve">Down syndrome patients </w:t>
      </w:r>
      <w:r w:rsidR="00782C09" w:rsidRPr="00782C09">
        <w:rPr>
          <w:rFonts w:ascii="Tw Cen MT" w:hAnsi="Tw Cen MT" w:cs="Arial"/>
          <w:sz w:val="18"/>
          <w:szCs w:val="18"/>
        </w:rPr>
        <w:t>was 1.88.</w:t>
      </w:r>
      <w:r w:rsidR="00782C09">
        <w:rPr>
          <w:rFonts w:ascii="Tw Cen MT" w:hAnsi="Tw Cen MT" w:cs="Arial"/>
          <w:sz w:val="18"/>
          <w:szCs w:val="18"/>
        </w:rPr>
        <w:t xml:space="preserve"> 50% of patients with Down syndrome were born to mothers falling in age group of 36-40 years. Conclusions and significance: </w:t>
      </w:r>
      <w:r w:rsidR="00782C09" w:rsidRPr="00782C09">
        <w:rPr>
          <w:rFonts w:ascii="Tw Cen MT" w:hAnsi="Tw Cen MT" w:cs="Arial"/>
          <w:sz w:val="18"/>
          <w:szCs w:val="18"/>
        </w:rPr>
        <w:t xml:space="preserve"> </w:t>
      </w:r>
      <w:r w:rsidR="00782C09">
        <w:rPr>
          <w:rFonts w:ascii="Tw Cen MT" w:hAnsi="Tw Cen MT" w:cs="Arial"/>
          <w:sz w:val="18"/>
          <w:szCs w:val="18"/>
        </w:rPr>
        <w:t>I</w:t>
      </w:r>
      <w:r w:rsidR="00782C09" w:rsidRPr="00782C09">
        <w:rPr>
          <w:rFonts w:ascii="Tw Cen MT" w:hAnsi="Tw Cen MT" w:cs="Arial"/>
          <w:sz w:val="18"/>
          <w:szCs w:val="18"/>
        </w:rPr>
        <w:t xml:space="preserve">dentification of </w:t>
      </w:r>
      <w:r w:rsidR="00782C09">
        <w:rPr>
          <w:rFonts w:ascii="Tw Cen MT" w:hAnsi="Tw Cen MT" w:cs="Arial"/>
          <w:sz w:val="18"/>
          <w:szCs w:val="18"/>
        </w:rPr>
        <w:t>various</w:t>
      </w:r>
      <w:r w:rsidR="00782C09" w:rsidRPr="00782C09">
        <w:rPr>
          <w:rFonts w:ascii="Tw Cen MT" w:hAnsi="Tw Cen MT" w:cs="Arial"/>
          <w:sz w:val="18"/>
          <w:szCs w:val="18"/>
        </w:rPr>
        <w:t xml:space="preserve"> types of chromosomal abnormalities in </w:t>
      </w:r>
      <w:r w:rsidR="00782C09">
        <w:rPr>
          <w:rFonts w:ascii="Tw Cen MT" w:hAnsi="Tw Cen MT" w:cs="Arial"/>
          <w:sz w:val="18"/>
          <w:szCs w:val="18"/>
        </w:rPr>
        <w:t xml:space="preserve">Down syndrome is </w:t>
      </w:r>
      <w:r w:rsidR="00782C09" w:rsidRPr="00782C09">
        <w:rPr>
          <w:rFonts w:ascii="Tw Cen MT" w:hAnsi="Tw Cen MT" w:cs="Arial"/>
          <w:sz w:val="18"/>
          <w:szCs w:val="18"/>
        </w:rPr>
        <w:t xml:space="preserve">very </w:t>
      </w:r>
      <w:r w:rsidR="00782C09">
        <w:rPr>
          <w:rFonts w:ascii="Tw Cen MT" w:hAnsi="Tw Cen MT" w:cs="Arial"/>
          <w:sz w:val="18"/>
          <w:szCs w:val="18"/>
        </w:rPr>
        <w:t xml:space="preserve">important. </w:t>
      </w:r>
      <w:r w:rsidR="00782C09" w:rsidRPr="00782C09">
        <w:rPr>
          <w:rFonts w:ascii="Tw Cen MT" w:hAnsi="Tw Cen MT" w:cs="Arial"/>
          <w:sz w:val="18"/>
          <w:szCs w:val="18"/>
        </w:rPr>
        <w:t xml:space="preserve">It </w:t>
      </w:r>
      <w:r w:rsidR="00782C09">
        <w:rPr>
          <w:rFonts w:ascii="Tw Cen MT" w:hAnsi="Tw Cen MT" w:cs="Arial"/>
          <w:sz w:val="18"/>
          <w:szCs w:val="18"/>
        </w:rPr>
        <w:t xml:space="preserve">aids in </w:t>
      </w:r>
      <w:r w:rsidR="00782C09" w:rsidRPr="00782C09">
        <w:rPr>
          <w:rFonts w:ascii="Tw Cen MT" w:hAnsi="Tw Cen MT" w:cs="Arial"/>
          <w:sz w:val="18"/>
          <w:szCs w:val="18"/>
        </w:rPr>
        <w:t xml:space="preserve">management of these children and </w:t>
      </w:r>
      <w:r w:rsidR="00782C09">
        <w:rPr>
          <w:rFonts w:ascii="Tw Cen MT" w:hAnsi="Tw Cen MT" w:cs="Arial"/>
          <w:sz w:val="18"/>
          <w:szCs w:val="18"/>
        </w:rPr>
        <w:t>to</w:t>
      </w:r>
      <w:r w:rsidR="00782C09" w:rsidRPr="00782C09">
        <w:rPr>
          <w:rFonts w:ascii="Tw Cen MT" w:hAnsi="Tw Cen MT" w:cs="Arial"/>
          <w:sz w:val="18"/>
          <w:szCs w:val="18"/>
        </w:rPr>
        <w:t xml:space="preserve"> aw</w:t>
      </w:r>
      <w:r w:rsidR="00782C09">
        <w:rPr>
          <w:rFonts w:ascii="Tw Cen MT" w:hAnsi="Tw Cen MT" w:cs="Arial"/>
          <w:sz w:val="18"/>
          <w:szCs w:val="18"/>
        </w:rPr>
        <w:t xml:space="preserve">are the affected families about </w:t>
      </w:r>
      <w:r w:rsidR="00757CFE">
        <w:rPr>
          <w:rFonts w:ascii="Tw Cen MT" w:hAnsi="Tw Cen MT" w:cs="Arial"/>
          <w:sz w:val="18"/>
          <w:szCs w:val="18"/>
        </w:rPr>
        <w:t xml:space="preserve">recurrence risk and </w:t>
      </w:r>
      <w:r w:rsidR="00782C09" w:rsidRPr="00782C09">
        <w:rPr>
          <w:rFonts w:ascii="Tw Cen MT" w:hAnsi="Tw Cen MT" w:cs="Arial"/>
          <w:sz w:val="18"/>
          <w:szCs w:val="18"/>
        </w:rPr>
        <w:t>options available</w:t>
      </w:r>
      <w:r w:rsidR="00757CFE">
        <w:rPr>
          <w:rFonts w:ascii="Tw Cen MT" w:hAnsi="Tw Cen MT" w:cs="Arial"/>
          <w:sz w:val="18"/>
          <w:szCs w:val="18"/>
        </w:rPr>
        <w:t>.</w:t>
      </w:r>
    </w:p>
    <w:p w:rsidR="00757CFE" w:rsidRDefault="00757CFE" w:rsidP="00782C09">
      <w:pPr>
        <w:rPr>
          <w:rFonts w:ascii="Arial" w:hAnsi="Arial" w:cs="Arial"/>
          <w:b/>
          <w:color w:val="C0504D" w:themeColor="accent2"/>
          <w:sz w:val="20"/>
          <w:szCs w:val="20"/>
        </w:rPr>
      </w:pPr>
      <w:r w:rsidRPr="00757CFE">
        <w:rPr>
          <w:rFonts w:ascii="Arial" w:hAnsi="Arial" w:cs="Arial"/>
          <w:b/>
          <w:color w:val="C0504D" w:themeColor="accent2"/>
          <w:sz w:val="20"/>
          <w:szCs w:val="20"/>
        </w:rPr>
        <w:t>Recent Publications</w:t>
      </w:r>
    </w:p>
    <w:p w:rsidR="00757CFE" w:rsidRPr="00F02553" w:rsidRDefault="00757CFE" w:rsidP="00757CFE">
      <w:pPr>
        <w:pStyle w:val="ListParagraph"/>
        <w:numPr>
          <w:ilvl w:val="0"/>
          <w:numId w:val="2"/>
        </w:numPr>
        <w:rPr>
          <w:rFonts w:cs="Arial"/>
          <w:color w:val="000000" w:themeColor="text1"/>
          <w:sz w:val="18"/>
          <w:szCs w:val="18"/>
        </w:rPr>
      </w:pPr>
      <w:proofErr w:type="spellStart"/>
      <w:r w:rsidRPr="00F02553">
        <w:rPr>
          <w:rFonts w:cs="Arial"/>
          <w:color w:val="000000" w:themeColor="text1"/>
          <w:sz w:val="18"/>
          <w:szCs w:val="18"/>
        </w:rPr>
        <w:t>Belmokhtar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F,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Belmokhtar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R,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Kerfouf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A (2016) Cytogenetic Study of Down </w:t>
      </w:r>
      <w:proofErr w:type="gramStart"/>
      <w:r w:rsidRPr="00F02553">
        <w:rPr>
          <w:rFonts w:cs="Arial"/>
          <w:color w:val="000000" w:themeColor="text1"/>
          <w:sz w:val="18"/>
          <w:szCs w:val="18"/>
        </w:rPr>
        <w:t>Syndrome</w:t>
      </w:r>
      <w:proofErr w:type="gramEnd"/>
      <w:r w:rsidRPr="00F02553">
        <w:rPr>
          <w:rFonts w:cs="Arial"/>
          <w:color w:val="000000" w:themeColor="text1"/>
          <w:sz w:val="18"/>
          <w:szCs w:val="18"/>
        </w:rPr>
        <w:t xml:space="preserve"> In Algeria: Report and Review. J Genet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Syndr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Gene</w:t>
      </w:r>
      <w:r w:rsidRPr="00F02553">
        <w:rPr>
          <w:rFonts w:cs="Arial"/>
          <w:color w:val="000000" w:themeColor="text1"/>
          <w:sz w:val="18"/>
          <w:szCs w:val="18"/>
        </w:rPr>
        <w:t xml:space="preserve">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Ther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7: 280. doi:10.4172/2157-7412.1000280</w:t>
      </w:r>
      <w:r w:rsidRPr="00F02553">
        <w:rPr>
          <w:rFonts w:cs="Arial"/>
          <w:color w:val="000000" w:themeColor="text1"/>
          <w:sz w:val="18"/>
          <w:szCs w:val="18"/>
        </w:rPr>
        <w:t>.</w:t>
      </w:r>
      <w:bookmarkStart w:id="0" w:name="_GoBack"/>
      <w:bookmarkEnd w:id="0"/>
    </w:p>
    <w:p w:rsidR="00757CFE" w:rsidRPr="00F02553" w:rsidRDefault="00757CFE" w:rsidP="00757CFE">
      <w:pPr>
        <w:pStyle w:val="ListParagraph"/>
        <w:numPr>
          <w:ilvl w:val="0"/>
          <w:numId w:val="2"/>
        </w:numPr>
        <w:rPr>
          <w:rFonts w:cs="Arial"/>
          <w:color w:val="000000" w:themeColor="text1"/>
          <w:sz w:val="18"/>
          <w:szCs w:val="18"/>
        </w:rPr>
      </w:pPr>
      <w:r w:rsidRPr="00F02553">
        <w:rPr>
          <w:rFonts w:cs="Arial"/>
          <w:color w:val="000000" w:themeColor="text1"/>
          <w:sz w:val="18"/>
          <w:szCs w:val="18"/>
        </w:rPr>
        <w:t>Flores-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Ramírez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F, Guerrero CP, Delgado CG, Morales-Jimenez AB, Arias-Villegas CM, et al</w:t>
      </w:r>
      <w:proofErr w:type="gramStart"/>
      <w:r w:rsidRPr="00F02553">
        <w:rPr>
          <w:rFonts w:cs="Arial"/>
          <w:color w:val="000000" w:themeColor="text1"/>
          <w:sz w:val="18"/>
          <w:szCs w:val="18"/>
        </w:rPr>
        <w:t>.(</w:t>
      </w:r>
      <w:proofErr w:type="gramEnd"/>
      <w:r w:rsidRPr="00F02553">
        <w:rPr>
          <w:rFonts w:cs="Arial"/>
          <w:color w:val="000000" w:themeColor="text1"/>
          <w:sz w:val="18"/>
          <w:szCs w:val="18"/>
        </w:rPr>
        <w:t>2015) Cytogenetic profile in 1,921 cases of trisomy 21 syndrome. Archives of Medical Research 46:484 –489.</w:t>
      </w:r>
    </w:p>
    <w:p w:rsidR="00757CFE" w:rsidRPr="00F02553" w:rsidRDefault="00757CFE" w:rsidP="00757CFE">
      <w:pPr>
        <w:pStyle w:val="ListParagraph"/>
        <w:numPr>
          <w:ilvl w:val="0"/>
          <w:numId w:val="2"/>
        </w:numPr>
        <w:rPr>
          <w:rFonts w:cs="Arial"/>
          <w:color w:val="000000" w:themeColor="text1"/>
          <w:sz w:val="18"/>
          <w:szCs w:val="18"/>
        </w:rPr>
      </w:pPr>
      <w:proofErr w:type="spellStart"/>
      <w:r w:rsidRPr="00F02553">
        <w:rPr>
          <w:rFonts w:cs="Arial"/>
          <w:color w:val="000000" w:themeColor="text1"/>
          <w:sz w:val="18"/>
          <w:szCs w:val="18"/>
        </w:rPr>
        <w:t>Demirhan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O,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Tanriverdi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N,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Suleymanova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D,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Cetinel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N (2015) Cytogenetic Profiles of 1213 Children with Down Syndrome in South</w:t>
      </w:r>
      <w:r w:rsidRPr="00F02553">
        <w:rPr>
          <w:rFonts w:cs="Arial"/>
          <w:color w:val="000000" w:themeColor="text1"/>
          <w:sz w:val="18"/>
          <w:szCs w:val="18"/>
        </w:rPr>
        <w:t xml:space="preserve"> </w:t>
      </w:r>
      <w:r w:rsidRPr="00F02553">
        <w:rPr>
          <w:rFonts w:cs="Arial"/>
          <w:color w:val="000000" w:themeColor="text1"/>
          <w:sz w:val="18"/>
          <w:szCs w:val="18"/>
        </w:rPr>
        <w:t xml:space="preserve">Region of Turkey. J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Mol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Genet Med 9: 157. doi:10.4172/1747-0862.1000157</w:t>
      </w:r>
    </w:p>
    <w:p w:rsidR="00757CFE" w:rsidRPr="00F02553" w:rsidRDefault="00757CFE" w:rsidP="00757CFE">
      <w:pPr>
        <w:pStyle w:val="ListParagraph"/>
        <w:numPr>
          <w:ilvl w:val="0"/>
          <w:numId w:val="2"/>
        </w:numPr>
        <w:rPr>
          <w:rFonts w:cs="Arial"/>
          <w:color w:val="000000" w:themeColor="text1"/>
          <w:sz w:val="18"/>
          <w:szCs w:val="18"/>
        </w:rPr>
      </w:pPr>
      <w:proofErr w:type="spellStart"/>
      <w:r w:rsidRPr="00F02553">
        <w:rPr>
          <w:rFonts w:cs="Arial"/>
          <w:color w:val="000000" w:themeColor="text1"/>
          <w:sz w:val="18"/>
          <w:szCs w:val="18"/>
        </w:rPr>
        <w:t>Kolgeci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S,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Kolgeci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J,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Azemi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M,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Shala-Beqiraj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R,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Gashi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Z, et al. (2013) Cytogenetic study in children with down syndrome among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kosova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Albanian population between 2000 and 2010. Mater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Sociomed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25: 131-135. </w:t>
      </w:r>
    </w:p>
    <w:p w:rsidR="00757CFE" w:rsidRPr="00F02553" w:rsidRDefault="00F02553" w:rsidP="00F02553">
      <w:pPr>
        <w:pStyle w:val="ListParagraph"/>
        <w:numPr>
          <w:ilvl w:val="0"/>
          <w:numId w:val="2"/>
        </w:numPr>
        <w:rPr>
          <w:rFonts w:cs="Arial"/>
          <w:color w:val="000000" w:themeColor="text1"/>
          <w:sz w:val="18"/>
          <w:szCs w:val="18"/>
        </w:rPr>
      </w:pPr>
      <w:proofErr w:type="spellStart"/>
      <w:r w:rsidRPr="00F02553">
        <w:rPr>
          <w:rFonts w:cs="Arial"/>
          <w:color w:val="000000" w:themeColor="text1"/>
          <w:sz w:val="18"/>
          <w:szCs w:val="18"/>
        </w:rPr>
        <w:t>Amayreh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W, Al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Qa’qa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’ K, Al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Hawamdeh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A,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Khashashneh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I (2012) Clinical</w:t>
      </w:r>
      <w:r w:rsidRPr="00F02553">
        <w:rPr>
          <w:rFonts w:cs="Arial"/>
          <w:color w:val="000000" w:themeColor="text1"/>
          <w:sz w:val="18"/>
          <w:szCs w:val="18"/>
        </w:rPr>
        <w:t xml:space="preserve"> </w:t>
      </w:r>
      <w:r w:rsidRPr="00F02553">
        <w:rPr>
          <w:rFonts w:cs="Arial"/>
          <w:color w:val="000000" w:themeColor="text1"/>
          <w:sz w:val="18"/>
          <w:szCs w:val="18"/>
        </w:rPr>
        <w:t xml:space="preserve">and Cytogenetic Profile of Down Syndrome at King Hussein Medical </w:t>
      </w:r>
      <w:proofErr w:type="spellStart"/>
      <w:r w:rsidRPr="00F02553">
        <w:rPr>
          <w:rFonts w:cs="Arial"/>
          <w:color w:val="000000" w:themeColor="text1"/>
          <w:sz w:val="18"/>
          <w:szCs w:val="18"/>
        </w:rPr>
        <w:t>Centre.Journal</w:t>
      </w:r>
      <w:proofErr w:type="spellEnd"/>
      <w:r w:rsidRPr="00F02553">
        <w:rPr>
          <w:rFonts w:cs="Arial"/>
          <w:color w:val="000000" w:themeColor="text1"/>
          <w:sz w:val="18"/>
          <w:szCs w:val="18"/>
        </w:rPr>
        <w:t xml:space="preserve"> of the Royal Medical Services 19: 14-18.</w:t>
      </w:r>
    </w:p>
    <w:p w:rsidR="00F02553" w:rsidRPr="00F02553" w:rsidRDefault="00F02553" w:rsidP="00F02553">
      <w:pPr>
        <w:pStyle w:val="ListParagraph"/>
        <w:ind w:left="1440"/>
        <w:rPr>
          <w:rFonts w:cs="Arial"/>
          <w:color w:val="000000" w:themeColor="text1"/>
          <w:sz w:val="18"/>
          <w:szCs w:val="18"/>
        </w:rPr>
      </w:pPr>
    </w:p>
    <w:p w:rsidR="00F02553" w:rsidRDefault="00F02553" w:rsidP="00F02553">
      <w:pPr>
        <w:pStyle w:val="ListParagraph"/>
        <w:ind w:left="1440"/>
        <w:rPr>
          <w:rFonts w:ascii="Arial" w:eastAsia="Tw Cen MT" w:hAnsi="Tw Cen MT" w:cs="Tw Cen MT"/>
          <w:color w:val="BF5A14"/>
        </w:rPr>
      </w:pPr>
      <w:r>
        <w:rPr>
          <w:rFonts w:ascii="Arial" w:eastAsia="Tw Cen MT" w:hAnsi="Tw Cen MT" w:cs="Tw Cen MT"/>
          <w:noProof/>
          <w:color w:val="BF5A14"/>
        </w:rPr>
        <w:drawing>
          <wp:inline distT="0" distB="0" distL="0" distR="0" wp14:anchorId="4A6B425A" wp14:editId="0FDD4A9E">
            <wp:extent cx="819302" cy="855878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349" cy="856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w Cen MT" w:hAnsi="Tw Cen MT" w:cs="Tw Cen MT"/>
          <w:color w:val="BF5A14"/>
        </w:rPr>
        <w:t xml:space="preserve"> </w:t>
      </w:r>
      <w:r w:rsidRPr="00F02553">
        <w:rPr>
          <w:rFonts w:ascii="Arial" w:eastAsia="Tw Cen MT" w:hAnsi="Tw Cen MT" w:cs="Tw Cen MT"/>
          <w:color w:val="BF5A14"/>
        </w:rPr>
        <w:t>Biography</w:t>
      </w:r>
    </w:p>
    <w:p w:rsidR="00F02553" w:rsidRDefault="00F02553" w:rsidP="00F02553">
      <w:pPr>
        <w:pStyle w:val="ListParagraph"/>
        <w:ind w:left="1440"/>
        <w:rPr>
          <w:rFonts w:ascii="Arial" w:eastAsia="Tw Cen MT" w:hAnsi="Tw Cen MT" w:cs="Tw Cen MT"/>
          <w:color w:val="BF5A14"/>
        </w:rPr>
      </w:pPr>
    </w:p>
    <w:p w:rsidR="00F02553" w:rsidRDefault="00F02553" w:rsidP="00F02553">
      <w:pPr>
        <w:pStyle w:val="ListParagraph"/>
        <w:ind w:left="1440"/>
        <w:rPr>
          <w:rFonts w:ascii="Arial" w:hAnsi="Arial" w:cs="Arial"/>
          <w:color w:val="000000" w:themeColor="text1"/>
          <w:sz w:val="14"/>
          <w:szCs w:val="14"/>
        </w:rPr>
      </w:pPr>
      <w:r w:rsidRPr="00F02553">
        <w:rPr>
          <w:rFonts w:ascii="Arial" w:hAnsi="Arial" w:cs="Arial"/>
          <w:color w:val="000000" w:themeColor="text1"/>
          <w:sz w:val="14"/>
          <w:szCs w:val="14"/>
        </w:rPr>
        <w:t xml:space="preserve">Dr. </w:t>
      </w:r>
      <w:proofErr w:type="spellStart"/>
      <w:r w:rsidRPr="00F02553">
        <w:rPr>
          <w:rFonts w:ascii="Arial" w:hAnsi="Arial" w:cs="Arial"/>
          <w:color w:val="000000" w:themeColor="text1"/>
          <w:sz w:val="14"/>
          <w:szCs w:val="14"/>
        </w:rPr>
        <w:t>Priyanka</w:t>
      </w:r>
      <w:proofErr w:type="spellEnd"/>
      <w:r w:rsidRPr="00F02553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proofErr w:type="spellStart"/>
      <w:r w:rsidRPr="00F02553">
        <w:rPr>
          <w:rFonts w:ascii="Arial" w:hAnsi="Arial" w:cs="Arial"/>
          <w:color w:val="000000" w:themeColor="text1"/>
          <w:sz w:val="14"/>
          <w:szCs w:val="14"/>
        </w:rPr>
        <w:t>Pandey</w:t>
      </w:r>
      <w:proofErr w:type="spellEnd"/>
      <w:r w:rsidRPr="00F02553">
        <w:rPr>
          <w:rFonts w:ascii="Arial" w:hAnsi="Arial" w:cs="Arial"/>
          <w:color w:val="000000" w:themeColor="text1"/>
          <w:sz w:val="14"/>
          <w:szCs w:val="14"/>
        </w:rPr>
        <w:t xml:space="preserve"> is pursuing her M.D Anatomy from King George’s Medical University, </w:t>
      </w:r>
      <w:proofErr w:type="spellStart"/>
      <w:r w:rsidRPr="00F02553">
        <w:rPr>
          <w:rFonts w:ascii="Arial" w:hAnsi="Arial" w:cs="Arial"/>
          <w:color w:val="000000" w:themeColor="text1"/>
          <w:sz w:val="14"/>
          <w:szCs w:val="14"/>
        </w:rPr>
        <w:t>Lucknow</w:t>
      </w:r>
      <w:proofErr w:type="spellEnd"/>
      <w:r w:rsidRPr="00F02553">
        <w:rPr>
          <w:rFonts w:ascii="Arial" w:hAnsi="Arial" w:cs="Arial"/>
          <w:color w:val="000000" w:themeColor="text1"/>
          <w:sz w:val="14"/>
          <w:szCs w:val="14"/>
        </w:rPr>
        <w:t>, India. She is currently in her third year of junior residency. She has completed her M.B.B.S in year 2012. She has two publications to her credit.</w:t>
      </w:r>
    </w:p>
    <w:p w:rsidR="00F02553" w:rsidRDefault="00F02553" w:rsidP="00F02553">
      <w:pPr>
        <w:pStyle w:val="ListParagraph"/>
        <w:ind w:left="1440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 xml:space="preserve">                                </w:t>
      </w:r>
    </w:p>
    <w:p w:rsidR="00F02553" w:rsidRPr="00F02553" w:rsidRDefault="00F02553" w:rsidP="00F02553">
      <w:pPr>
        <w:pStyle w:val="ListParagraph"/>
        <w:ind w:left="1440"/>
        <w:rPr>
          <w:rFonts w:ascii="Arial" w:hAnsi="Arial" w:cs="Arial"/>
          <w:color w:val="000000" w:themeColor="text1"/>
          <w:sz w:val="14"/>
          <w:szCs w:val="14"/>
        </w:rPr>
      </w:pPr>
      <w:r>
        <w:rPr>
          <w:rFonts w:ascii="Arial" w:hAnsi="Arial" w:cs="Arial"/>
          <w:color w:val="000000" w:themeColor="text1"/>
          <w:sz w:val="14"/>
          <w:szCs w:val="14"/>
        </w:rPr>
        <w:t xml:space="preserve">                                </w:t>
      </w:r>
      <w:r w:rsidRPr="00F02553">
        <w:rPr>
          <w:rFonts w:ascii="Arial" w:hAnsi="Arial" w:cs="Arial"/>
          <w:color w:val="000000" w:themeColor="text1"/>
          <w:sz w:val="14"/>
          <w:szCs w:val="14"/>
        </w:rPr>
        <w:t xml:space="preserve">Email: </w:t>
      </w:r>
      <w:r>
        <w:rPr>
          <w:rFonts w:ascii="Arial" w:hAnsi="Arial" w:cs="Arial"/>
          <w:color w:val="000000" w:themeColor="text1"/>
          <w:sz w:val="14"/>
          <w:szCs w:val="14"/>
        </w:rPr>
        <w:t>priyapandey0511@gmail.com</w:t>
      </w:r>
    </w:p>
    <w:p w:rsidR="00F02553" w:rsidRPr="00F02553" w:rsidRDefault="00F02553" w:rsidP="00F02553">
      <w:pPr>
        <w:pStyle w:val="ListParagraph"/>
        <w:ind w:left="1440"/>
        <w:rPr>
          <w:rFonts w:ascii="Arial" w:hAnsi="Arial" w:cs="Arial"/>
          <w:color w:val="000000" w:themeColor="text1"/>
          <w:sz w:val="14"/>
          <w:szCs w:val="14"/>
        </w:rPr>
      </w:pPr>
      <w:r w:rsidRPr="00F02553">
        <w:rPr>
          <w:rFonts w:ascii="Arial" w:hAnsi="Arial" w:cs="Arial"/>
          <w:color w:val="000000" w:themeColor="text1"/>
          <w:sz w:val="14"/>
          <w:szCs w:val="14"/>
        </w:rPr>
        <w:t xml:space="preserve">             </w:t>
      </w:r>
      <w:r>
        <w:rPr>
          <w:rFonts w:ascii="Arial" w:hAnsi="Arial" w:cs="Arial"/>
          <w:color w:val="000000" w:themeColor="text1"/>
          <w:sz w:val="14"/>
          <w:szCs w:val="14"/>
        </w:rPr>
        <w:t xml:space="preserve">                  </w:t>
      </w:r>
      <w:r w:rsidRPr="00F02553">
        <w:rPr>
          <w:rFonts w:ascii="Arial" w:hAnsi="Arial" w:cs="Arial"/>
          <w:color w:val="000000" w:themeColor="text1"/>
          <w:sz w:val="14"/>
          <w:szCs w:val="14"/>
        </w:rPr>
        <w:t xml:space="preserve"> DOB: </w:t>
      </w:r>
      <w:r>
        <w:rPr>
          <w:rFonts w:ascii="Arial" w:hAnsi="Arial" w:cs="Arial"/>
          <w:color w:val="000000" w:themeColor="text1"/>
          <w:sz w:val="14"/>
          <w:szCs w:val="14"/>
        </w:rPr>
        <w:t>08</w:t>
      </w:r>
      <w:r w:rsidRPr="00F02553">
        <w:rPr>
          <w:rFonts w:ascii="Arial" w:hAnsi="Arial" w:cs="Arial"/>
          <w:color w:val="000000" w:themeColor="text1"/>
          <w:sz w:val="14"/>
          <w:szCs w:val="14"/>
        </w:rPr>
        <w:t>-</w:t>
      </w:r>
      <w:r>
        <w:rPr>
          <w:rFonts w:ascii="Arial" w:hAnsi="Arial" w:cs="Arial"/>
          <w:color w:val="000000" w:themeColor="text1"/>
          <w:sz w:val="14"/>
          <w:szCs w:val="14"/>
        </w:rPr>
        <w:t>05</w:t>
      </w:r>
      <w:r w:rsidRPr="00F02553">
        <w:rPr>
          <w:rFonts w:ascii="Arial" w:hAnsi="Arial" w:cs="Arial"/>
          <w:color w:val="000000" w:themeColor="text1"/>
          <w:sz w:val="14"/>
          <w:szCs w:val="14"/>
        </w:rPr>
        <w:t>-</w:t>
      </w:r>
      <w:r>
        <w:rPr>
          <w:rFonts w:ascii="Arial" w:hAnsi="Arial" w:cs="Arial"/>
          <w:color w:val="000000" w:themeColor="text1"/>
          <w:sz w:val="14"/>
          <w:szCs w:val="14"/>
        </w:rPr>
        <w:t>1983</w:t>
      </w:r>
    </w:p>
    <w:p w:rsidR="00F02553" w:rsidRPr="00F02553" w:rsidRDefault="00F02553" w:rsidP="00F02553">
      <w:pPr>
        <w:pStyle w:val="ListParagraph"/>
        <w:ind w:left="1440"/>
        <w:rPr>
          <w:rFonts w:ascii="Arial" w:hAnsi="Arial" w:cs="Arial"/>
          <w:color w:val="000000" w:themeColor="text1"/>
          <w:sz w:val="14"/>
          <w:szCs w:val="14"/>
        </w:rPr>
      </w:pPr>
      <w:r w:rsidRPr="00F02553">
        <w:rPr>
          <w:rFonts w:ascii="Arial" w:hAnsi="Arial" w:cs="Arial"/>
          <w:color w:val="000000" w:themeColor="text1"/>
          <w:sz w:val="14"/>
          <w:szCs w:val="14"/>
        </w:rPr>
        <w:t xml:space="preserve">              </w:t>
      </w:r>
      <w:r>
        <w:rPr>
          <w:rFonts w:ascii="Arial" w:hAnsi="Arial" w:cs="Arial"/>
          <w:color w:val="000000" w:themeColor="text1"/>
          <w:sz w:val="14"/>
          <w:szCs w:val="14"/>
        </w:rPr>
        <w:t xml:space="preserve">                  </w:t>
      </w:r>
      <w:r w:rsidRPr="00F02553">
        <w:rPr>
          <w:rFonts w:ascii="Arial" w:hAnsi="Arial" w:cs="Arial"/>
          <w:color w:val="000000" w:themeColor="text1"/>
          <w:sz w:val="14"/>
          <w:szCs w:val="14"/>
        </w:rPr>
        <w:t xml:space="preserve">Contact Number: </w:t>
      </w:r>
      <w:r w:rsidRPr="00F02553">
        <w:rPr>
          <w:rFonts w:ascii="Arial" w:hAnsi="Arial" w:cs="Arial"/>
          <w:color w:val="000000" w:themeColor="text1"/>
          <w:sz w:val="14"/>
          <w:szCs w:val="14"/>
        </w:rPr>
        <w:t>+917571957643</w:t>
      </w:r>
    </w:p>
    <w:p w:rsidR="00757CFE" w:rsidRPr="00C64A53" w:rsidRDefault="00757CFE" w:rsidP="00782C09">
      <w:pPr>
        <w:rPr>
          <w:rFonts w:ascii="Tw Cen MT" w:hAnsi="Tw Cen MT" w:cs="Arial"/>
          <w:sz w:val="18"/>
          <w:szCs w:val="18"/>
        </w:rPr>
      </w:pPr>
    </w:p>
    <w:p w:rsidR="00C64A53" w:rsidRPr="00C64A53" w:rsidRDefault="00C64A53">
      <w:pPr>
        <w:rPr>
          <w:rFonts w:ascii="Arial" w:hAnsi="Arial" w:cs="Arial"/>
          <w:b/>
          <w:sz w:val="36"/>
          <w:szCs w:val="36"/>
        </w:rPr>
      </w:pPr>
    </w:p>
    <w:sectPr w:rsidR="00C64A53" w:rsidRPr="00C64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13B44"/>
    <w:multiLevelType w:val="hybridMultilevel"/>
    <w:tmpl w:val="E2EE7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B34D2"/>
    <w:multiLevelType w:val="hybridMultilevel"/>
    <w:tmpl w:val="8EF243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A53"/>
    <w:rsid w:val="001B0B56"/>
    <w:rsid w:val="00757CFE"/>
    <w:rsid w:val="00782C09"/>
    <w:rsid w:val="008846B0"/>
    <w:rsid w:val="009F3883"/>
    <w:rsid w:val="00C64A53"/>
    <w:rsid w:val="00F02553"/>
    <w:rsid w:val="00F6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C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2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5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C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2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5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2017-10-04T15:07:00Z</dcterms:created>
  <dcterms:modified xsi:type="dcterms:W3CDTF">2017-10-04T16:19:00Z</dcterms:modified>
</cp:coreProperties>
</file>