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3EA71" w14:textId="77777777" w:rsidR="00A93C0B" w:rsidRPr="00A93C0B" w:rsidRDefault="00970F05" w:rsidP="00494130">
      <w:pPr>
        <w:pStyle w:val="Ttulo1"/>
        <w:spacing w:before="170"/>
        <w:ind w:left="0"/>
        <w:rPr>
          <w:color w:val="337AB7"/>
        </w:rPr>
      </w:pPr>
      <w:r w:rsidRPr="00970F05">
        <w:rPr>
          <w:color w:val="337AB7"/>
        </w:rPr>
        <w:t>Evaluation of the antineoplastic potential of new natural compounds in glioblastoma lines.</w:t>
      </w:r>
    </w:p>
    <w:p w14:paraId="30A5BEE7" w14:textId="77777777" w:rsidR="00A93C0B" w:rsidRPr="00763237" w:rsidRDefault="00A93C0B" w:rsidP="005973B9">
      <w:pPr>
        <w:pStyle w:val="Corpodetexto"/>
        <w:spacing w:before="73" w:line="198" w:lineRule="exact"/>
        <w:ind w:left="100" w:right="5987"/>
        <w:rPr>
          <w:rFonts w:ascii="Arial"/>
          <w:u w:val="single"/>
          <w:lang w:val="pt-BR"/>
        </w:rPr>
      </w:pPr>
      <w:r w:rsidRPr="00763237">
        <w:rPr>
          <w:rFonts w:ascii="Arial"/>
          <w:u w:val="single"/>
          <w:lang w:val="pt-BR"/>
        </w:rPr>
        <w:t>Lorena R Sousa, Msc student, UFSJ-CCO, Brazil</w:t>
      </w:r>
    </w:p>
    <w:p w14:paraId="61997331" w14:textId="77777777" w:rsidR="00A93C0B" w:rsidRPr="00763237" w:rsidRDefault="00A93C0B" w:rsidP="005973B9">
      <w:pPr>
        <w:pStyle w:val="Corpodetexto"/>
        <w:spacing w:before="73" w:line="198" w:lineRule="exact"/>
        <w:ind w:left="100" w:right="5987"/>
        <w:rPr>
          <w:rFonts w:ascii="Arial"/>
          <w:u w:val="single"/>
          <w:lang w:val="pt-BR"/>
        </w:rPr>
      </w:pPr>
      <w:r w:rsidRPr="00763237">
        <w:rPr>
          <w:rFonts w:ascii="Arial"/>
          <w:u w:val="single"/>
          <w:lang w:val="pt-BR"/>
        </w:rPr>
        <w:t>Ana G Silva, Msc, UFSJ-CCO, Brazil</w:t>
      </w:r>
    </w:p>
    <w:p w14:paraId="56E4FF62" w14:textId="77777777" w:rsidR="00A93C0B" w:rsidRPr="00763237" w:rsidRDefault="00A93C0B" w:rsidP="005973B9">
      <w:pPr>
        <w:pStyle w:val="Corpodetexto"/>
        <w:spacing w:before="73" w:line="198" w:lineRule="exact"/>
        <w:ind w:left="100" w:right="5987"/>
        <w:rPr>
          <w:rFonts w:ascii="Arial"/>
          <w:u w:val="single"/>
          <w:lang w:val="pt-BR"/>
        </w:rPr>
      </w:pPr>
      <w:r w:rsidRPr="00763237">
        <w:rPr>
          <w:rFonts w:ascii="Arial"/>
          <w:u w:val="single"/>
          <w:lang w:val="pt-BR"/>
        </w:rPr>
        <w:t>Vanessa G P Severino, PhD, UFG, Brazil</w:t>
      </w:r>
    </w:p>
    <w:p w14:paraId="2A26319D" w14:textId="77777777" w:rsidR="00A93C0B" w:rsidRDefault="00A93C0B" w:rsidP="005973B9">
      <w:pPr>
        <w:pStyle w:val="Corpodetexto"/>
        <w:spacing w:before="73" w:line="198" w:lineRule="exact"/>
        <w:ind w:left="100" w:right="5987"/>
        <w:rPr>
          <w:rFonts w:ascii="Arial"/>
          <w:u w:val="single"/>
          <w:lang w:val="pt-BR"/>
        </w:rPr>
      </w:pPr>
      <w:r w:rsidRPr="00763237">
        <w:rPr>
          <w:rFonts w:ascii="Arial"/>
          <w:u w:val="single"/>
          <w:lang w:val="pt-BR"/>
        </w:rPr>
        <w:t>Jo</w:t>
      </w:r>
      <w:r w:rsidRPr="00763237">
        <w:rPr>
          <w:rFonts w:ascii="Arial"/>
          <w:u w:val="single"/>
          <w:lang w:val="pt-BR"/>
        </w:rPr>
        <w:t>ã</w:t>
      </w:r>
      <w:r w:rsidRPr="00763237">
        <w:rPr>
          <w:rFonts w:ascii="Arial"/>
          <w:u w:val="single"/>
          <w:lang w:val="pt-BR"/>
        </w:rPr>
        <w:t xml:space="preserve">o G M Junqueira, </w:t>
      </w:r>
      <w:proofErr w:type="spellStart"/>
      <w:r w:rsidRPr="00763237">
        <w:rPr>
          <w:rFonts w:ascii="Arial"/>
          <w:u w:val="single"/>
          <w:lang w:val="pt-BR"/>
        </w:rPr>
        <w:t>Msc</w:t>
      </w:r>
      <w:proofErr w:type="spellEnd"/>
      <w:r w:rsidRPr="00763237">
        <w:rPr>
          <w:rFonts w:ascii="Arial"/>
          <w:u w:val="single"/>
          <w:lang w:val="pt-BR"/>
        </w:rPr>
        <w:t xml:space="preserve">, UFG, </w:t>
      </w:r>
      <w:proofErr w:type="spellStart"/>
      <w:proofErr w:type="gramStart"/>
      <w:r w:rsidRPr="00763237">
        <w:rPr>
          <w:rFonts w:ascii="Arial"/>
          <w:u w:val="single"/>
          <w:lang w:val="pt-BR"/>
        </w:rPr>
        <w:t>Brazil</w:t>
      </w:r>
      <w:proofErr w:type="spellEnd"/>
      <w:proofErr w:type="gramEnd"/>
    </w:p>
    <w:p w14:paraId="5888542B" w14:textId="0678AB29" w:rsidR="002E1E2C" w:rsidRPr="00763237" w:rsidRDefault="002E1E2C" w:rsidP="005973B9">
      <w:pPr>
        <w:pStyle w:val="Corpodetexto"/>
        <w:spacing w:before="73" w:line="198" w:lineRule="exact"/>
        <w:ind w:left="100" w:right="5987"/>
        <w:rPr>
          <w:rFonts w:ascii="Arial"/>
          <w:u w:val="single"/>
          <w:lang w:val="pt-BR"/>
        </w:rPr>
      </w:pPr>
      <w:r>
        <w:rPr>
          <w:rFonts w:ascii="Arial"/>
          <w:u w:val="single"/>
          <w:lang w:val="pt-BR"/>
        </w:rPr>
        <w:t>Renato J S Oliveira, PhD,</w:t>
      </w:r>
      <w:r w:rsidRPr="002E1E2C">
        <w:rPr>
          <w:rFonts w:ascii="Arial"/>
          <w:u w:val="single"/>
          <w:lang w:val="pt-BR"/>
        </w:rPr>
        <w:t xml:space="preserve"> </w:t>
      </w:r>
      <w:r w:rsidRPr="00763237">
        <w:rPr>
          <w:rFonts w:ascii="Arial"/>
          <w:u w:val="single"/>
          <w:lang w:val="pt-BR"/>
        </w:rPr>
        <w:t xml:space="preserve">CPOM-Barretos, </w:t>
      </w:r>
      <w:proofErr w:type="spellStart"/>
      <w:proofErr w:type="gramStart"/>
      <w:r w:rsidRPr="00763237">
        <w:rPr>
          <w:rFonts w:ascii="Arial"/>
          <w:u w:val="single"/>
          <w:lang w:val="pt-BR"/>
        </w:rPr>
        <w:t>Brazil</w:t>
      </w:r>
      <w:proofErr w:type="spellEnd"/>
      <w:proofErr w:type="gramEnd"/>
    </w:p>
    <w:p w14:paraId="164A13CD" w14:textId="77777777" w:rsidR="00A93C0B" w:rsidRPr="00763237" w:rsidRDefault="00A93C0B" w:rsidP="005973B9">
      <w:pPr>
        <w:pStyle w:val="Corpodetexto"/>
        <w:spacing w:before="73" w:line="198" w:lineRule="exact"/>
        <w:ind w:left="100" w:right="5987"/>
        <w:rPr>
          <w:rFonts w:ascii="Arial"/>
          <w:u w:val="single"/>
          <w:lang w:val="pt-BR"/>
        </w:rPr>
      </w:pPr>
      <w:r w:rsidRPr="00763237">
        <w:rPr>
          <w:rFonts w:ascii="Arial"/>
          <w:u w:val="single"/>
          <w:lang w:val="pt-BR"/>
        </w:rPr>
        <w:t xml:space="preserve">Rui M V Reis, PhD, CPOM-Barretos, </w:t>
      </w:r>
      <w:proofErr w:type="gramStart"/>
      <w:r w:rsidRPr="00763237">
        <w:rPr>
          <w:rFonts w:ascii="Arial"/>
          <w:u w:val="single"/>
          <w:lang w:val="pt-BR"/>
        </w:rPr>
        <w:t>Brazil</w:t>
      </w:r>
      <w:proofErr w:type="gramEnd"/>
    </w:p>
    <w:p w14:paraId="32E6690E" w14:textId="77777777" w:rsidR="004742C8" w:rsidRPr="00763237" w:rsidRDefault="00A93C0B" w:rsidP="00A93C0B">
      <w:pPr>
        <w:pStyle w:val="Corpodetexto"/>
        <w:spacing w:before="73" w:line="198" w:lineRule="exact"/>
        <w:ind w:left="100" w:right="5987"/>
        <w:rPr>
          <w:rFonts w:ascii="Arial" w:hAnsi="Arial" w:cs="Arial"/>
          <w:i/>
          <w:iCs/>
          <w:color w:val="000000"/>
          <w:vertAlign w:val="superscript"/>
          <w:lang w:val="pt-BR"/>
        </w:rPr>
      </w:pPr>
      <w:r w:rsidRPr="00763237">
        <w:rPr>
          <w:rFonts w:ascii="Arial"/>
          <w:u w:val="single"/>
          <w:lang w:val="pt-BR"/>
        </w:rPr>
        <w:t>Rosy I M A Ribeiro, PhD, UFSJ-CCO, Brazil</w:t>
      </w:r>
    </w:p>
    <w:p w14:paraId="4C58FFCC" w14:textId="77777777" w:rsidR="00AE3E37" w:rsidRPr="00763237" w:rsidRDefault="00AE3E37">
      <w:pPr>
        <w:rPr>
          <w:rFonts w:ascii="Arial"/>
          <w:sz w:val="21"/>
          <w:lang w:val="pt-BR"/>
        </w:rPr>
      </w:pPr>
    </w:p>
    <w:p w14:paraId="0D5A1A6A" w14:textId="77777777" w:rsidR="0003269B" w:rsidRPr="00763237" w:rsidRDefault="0003269B">
      <w:pPr>
        <w:rPr>
          <w:rFonts w:ascii="Arial"/>
          <w:sz w:val="21"/>
          <w:lang w:val="pt-BR"/>
        </w:rPr>
        <w:sectPr w:rsidR="0003269B" w:rsidRPr="00763237" w:rsidSect="0003269B">
          <w:headerReference w:type="default" r:id="rId8"/>
          <w:footerReference w:type="default" r:id="rId9"/>
          <w:type w:val="continuous"/>
          <w:pgSz w:w="11910" w:h="16840"/>
          <w:pgMar w:top="1740" w:right="600" w:bottom="840" w:left="620" w:header="0" w:footer="0" w:gutter="0"/>
          <w:cols w:space="720"/>
          <w:docGrid w:linePitch="299"/>
        </w:sectPr>
      </w:pPr>
    </w:p>
    <w:p w14:paraId="54B41E29" w14:textId="1578859B" w:rsidR="00313287" w:rsidRDefault="007F035A" w:rsidP="00A93C0B">
      <w:pPr>
        <w:pStyle w:val="Ttulo3"/>
        <w:spacing w:before="74"/>
        <w:jc w:val="both"/>
        <w:rPr>
          <w:color w:val="BF5A14"/>
        </w:rPr>
      </w:pPr>
      <w:r w:rsidRPr="002E1E2C">
        <w:rPr>
          <w:rFonts w:asciiTheme="majorHAnsi" w:hAnsiTheme="majorHAnsi" w:cs="Calibri"/>
          <w:b w:val="0"/>
          <w:color w:val="000000"/>
          <w:sz w:val="18"/>
          <w:szCs w:val="18"/>
          <w:shd w:val="clear" w:color="auto" w:fill="FFFFFF"/>
        </w:rPr>
        <w:lastRenderedPageBreak/>
        <w:t xml:space="preserve">Nowadays cancer is one of the diseases with the highest number of deaths worldwide. Glioblastomas are one of the most aggressive tumors of the central nervous system in adults. The average survival rate of patients diagnosed with this disease is only 3% in five years. The available treatments are only palliative, justifying the need of studies aimed at screening new compounds more effective for clinical use. The present study aimed to evaluate the antitumor potential of plant extracts of </w:t>
      </w:r>
      <w:r w:rsidRPr="002E1E2C">
        <w:rPr>
          <w:rFonts w:asciiTheme="majorHAnsi" w:hAnsiTheme="majorHAnsi" w:cs="Calibri"/>
          <w:b w:val="0"/>
          <w:i/>
          <w:color w:val="000000"/>
          <w:sz w:val="18"/>
          <w:szCs w:val="18"/>
          <w:shd w:val="clear" w:color="auto" w:fill="FFFFFF"/>
        </w:rPr>
        <w:t xml:space="preserve">Annona </w:t>
      </w:r>
      <w:proofErr w:type="spellStart"/>
      <w:r w:rsidRPr="002E1E2C">
        <w:rPr>
          <w:rFonts w:asciiTheme="majorHAnsi" w:hAnsiTheme="majorHAnsi" w:cs="Calibri"/>
          <w:b w:val="0"/>
          <w:i/>
          <w:color w:val="000000"/>
          <w:sz w:val="18"/>
          <w:szCs w:val="18"/>
          <w:shd w:val="clear" w:color="auto" w:fill="FFFFFF"/>
        </w:rPr>
        <w:t>coreacea</w:t>
      </w:r>
      <w:proofErr w:type="spellEnd"/>
      <w:r w:rsidRPr="002E1E2C">
        <w:rPr>
          <w:rFonts w:asciiTheme="majorHAnsi" w:hAnsiTheme="majorHAnsi" w:cs="Calibri"/>
          <w:b w:val="0"/>
          <w:color w:val="000000"/>
          <w:sz w:val="18"/>
          <w:szCs w:val="18"/>
          <w:shd w:val="clear" w:color="auto" w:fill="FFFFFF"/>
        </w:rPr>
        <w:t xml:space="preserve"> in two human glioma lines, GAMG and U251. Cell viability was quantifi</w:t>
      </w:r>
      <w:r w:rsidR="00A93C0B" w:rsidRPr="002E1E2C">
        <w:rPr>
          <w:rFonts w:asciiTheme="majorHAnsi" w:hAnsiTheme="majorHAnsi" w:cs="Calibri"/>
          <w:b w:val="0"/>
          <w:color w:val="000000"/>
          <w:sz w:val="18"/>
          <w:szCs w:val="18"/>
          <w:shd w:val="clear" w:color="auto" w:fill="FFFFFF"/>
        </w:rPr>
        <w:t>ed by the reduction of MTT ([3-(4,5-dimethylthiazol-2yl)</w:t>
      </w:r>
      <w:r w:rsidRPr="002E1E2C">
        <w:rPr>
          <w:rFonts w:asciiTheme="majorHAnsi" w:hAnsiTheme="majorHAnsi" w:cs="Calibri"/>
          <w:b w:val="0"/>
          <w:color w:val="000000"/>
          <w:sz w:val="18"/>
          <w:szCs w:val="18"/>
          <w:shd w:val="clear" w:color="auto" w:fill="FFFFFF"/>
        </w:rPr>
        <w:t xml:space="preserve">-2,5-diphenyltetrazolium bromide) to formazan, its </w:t>
      </w:r>
      <w:proofErr w:type="spellStart"/>
      <w:r w:rsidRPr="002E1E2C">
        <w:rPr>
          <w:rFonts w:asciiTheme="majorHAnsi" w:hAnsiTheme="majorHAnsi" w:cs="Calibri"/>
          <w:b w:val="0"/>
          <w:color w:val="000000"/>
          <w:sz w:val="18"/>
          <w:szCs w:val="18"/>
          <w:shd w:val="clear" w:color="auto" w:fill="FFFFFF"/>
        </w:rPr>
        <w:t>metabolization</w:t>
      </w:r>
      <w:proofErr w:type="spellEnd"/>
      <w:r w:rsidRPr="002E1E2C">
        <w:rPr>
          <w:rFonts w:asciiTheme="majorHAnsi" w:hAnsiTheme="majorHAnsi" w:cs="Calibri"/>
          <w:b w:val="0"/>
          <w:color w:val="000000"/>
          <w:sz w:val="18"/>
          <w:szCs w:val="18"/>
          <w:shd w:val="clear" w:color="auto" w:fill="FFFFFF"/>
        </w:rPr>
        <w:t xml:space="preserve"> being proportional to the number of viable cells. The absorbance was measured by the </w:t>
      </w:r>
      <w:r w:rsidR="00BF6C23">
        <w:rPr>
          <w:rFonts w:asciiTheme="majorHAnsi" w:hAnsiTheme="majorHAnsi" w:cs="Calibri"/>
          <w:b w:val="0"/>
          <w:color w:val="000000"/>
          <w:sz w:val="18"/>
          <w:szCs w:val="18"/>
          <w:shd w:val="clear" w:color="auto" w:fill="FFFFFF"/>
        </w:rPr>
        <w:t>s</w:t>
      </w:r>
      <w:r w:rsidR="00BF6C23" w:rsidRPr="00BF6C23">
        <w:rPr>
          <w:rFonts w:asciiTheme="majorHAnsi" w:hAnsiTheme="majorHAnsi" w:cs="Calibri"/>
          <w:b w:val="0"/>
          <w:color w:val="000000"/>
          <w:sz w:val="18"/>
          <w:szCs w:val="18"/>
          <w:shd w:val="clear" w:color="auto" w:fill="FFFFFF"/>
        </w:rPr>
        <w:t>pectrophotometer</w:t>
      </w:r>
      <w:r w:rsidR="00BF6C23">
        <w:rPr>
          <w:rFonts w:asciiTheme="majorHAnsi" w:hAnsiTheme="majorHAnsi" w:cs="Calibri"/>
          <w:b w:val="0"/>
          <w:color w:val="000000"/>
          <w:sz w:val="18"/>
          <w:szCs w:val="18"/>
          <w:shd w:val="clear" w:color="auto" w:fill="FFFFFF"/>
        </w:rPr>
        <w:t xml:space="preserve"> </w:t>
      </w:r>
      <w:r w:rsidRPr="002E1E2C">
        <w:rPr>
          <w:rFonts w:asciiTheme="majorHAnsi" w:hAnsiTheme="majorHAnsi" w:cs="Calibri"/>
          <w:b w:val="0"/>
          <w:color w:val="000000"/>
          <w:sz w:val="18"/>
          <w:szCs w:val="18"/>
          <w:shd w:val="clear" w:color="auto" w:fill="FFFFFF"/>
        </w:rPr>
        <w:t>at wavelength 570nm after 2 hours and 30 min</w:t>
      </w:r>
      <w:r w:rsidR="00A93C0B" w:rsidRPr="002E1E2C">
        <w:rPr>
          <w:rFonts w:asciiTheme="majorHAnsi" w:hAnsiTheme="majorHAnsi" w:cs="Calibri"/>
          <w:b w:val="0"/>
          <w:color w:val="000000"/>
          <w:sz w:val="18"/>
          <w:szCs w:val="18"/>
          <w:shd w:val="clear" w:color="auto" w:fill="FFFFFF"/>
        </w:rPr>
        <w:t>utes incubation with MTT (2.5mg</w:t>
      </w:r>
      <w:r w:rsidRPr="002E1E2C">
        <w:rPr>
          <w:rFonts w:asciiTheme="majorHAnsi" w:hAnsiTheme="majorHAnsi" w:cs="Calibri"/>
          <w:b w:val="0"/>
          <w:color w:val="000000"/>
          <w:sz w:val="18"/>
          <w:szCs w:val="18"/>
          <w:shd w:val="clear" w:color="auto" w:fill="FFFFFF"/>
        </w:rPr>
        <w:t>/mL). The IC</w:t>
      </w:r>
      <w:r w:rsidRPr="002E1E2C">
        <w:rPr>
          <w:rFonts w:asciiTheme="majorHAnsi" w:hAnsiTheme="majorHAnsi" w:cs="Calibri"/>
          <w:b w:val="0"/>
          <w:color w:val="000000"/>
          <w:sz w:val="18"/>
          <w:szCs w:val="18"/>
          <w:shd w:val="clear" w:color="auto" w:fill="FFFFFF"/>
          <w:vertAlign w:val="subscript"/>
        </w:rPr>
        <w:t>50</w:t>
      </w:r>
      <w:r w:rsidRPr="002E1E2C">
        <w:rPr>
          <w:rFonts w:asciiTheme="majorHAnsi" w:hAnsiTheme="majorHAnsi" w:cs="Calibri"/>
          <w:b w:val="0"/>
          <w:color w:val="000000"/>
          <w:sz w:val="18"/>
          <w:szCs w:val="18"/>
          <w:shd w:val="clear" w:color="auto" w:fill="FFFFFF"/>
        </w:rPr>
        <w:t xml:space="preserve"> of all compounds was elucidated by a 24 hours dilution curve</w:t>
      </w:r>
      <w:r w:rsidR="00A93C0B" w:rsidRPr="002E1E2C">
        <w:rPr>
          <w:rFonts w:asciiTheme="majorHAnsi" w:hAnsiTheme="majorHAnsi" w:cs="Calibri"/>
          <w:b w:val="0"/>
          <w:color w:val="000000"/>
          <w:sz w:val="18"/>
          <w:szCs w:val="18"/>
          <w:shd w:val="clear" w:color="auto" w:fill="FFFFFF"/>
        </w:rPr>
        <w:t xml:space="preserve"> with concentrations (1</w:t>
      </w:r>
      <w:r w:rsidR="00A93C0B" w:rsidRPr="002E1E2C">
        <w:rPr>
          <w:rFonts w:asciiTheme="majorHAnsi" w:hAnsiTheme="majorHAnsi" w:cs="Lucida Sans Unicode"/>
          <w:b w:val="0"/>
          <w:color w:val="000000"/>
          <w:sz w:val="18"/>
          <w:szCs w:val="18"/>
          <w:shd w:val="clear" w:color="auto" w:fill="FFFFFF"/>
        </w:rPr>
        <w:t>µ</w:t>
      </w:r>
      <w:r w:rsidRPr="002E1E2C">
        <w:rPr>
          <w:rFonts w:asciiTheme="majorHAnsi" w:hAnsiTheme="majorHAnsi" w:cs="Calibri"/>
          <w:b w:val="0"/>
          <w:color w:val="000000"/>
          <w:sz w:val="18"/>
          <w:szCs w:val="18"/>
          <w:shd w:val="clear" w:color="auto" w:fill="FFFFFF"/>
        </w:rPr>
        <w:t>g/mL, 7</w:t>
      </w:r>
      <w:r w:rsidR="00A93C0B" w:rsidRPr="002E1E2C">
        <w:rPr>
          <w:rFonts w:asciiTheme="majorHAnsi" w:hAnsiTheme="majorHAnsi" w:cs="Lucida Sans Unicode"/>
          <w:b w:val="0"/>
          <w:color w:val="000000"/>
          <w:sz w:val="18"/>
          <w:szCs w:val="18"/>
          <w:shd w:val="clear" w:color="auto" w:fill="FFFFFF"/>
        </w:rPr>
        <w:t>µ</w:t>
      </w:r>
      <w:r w:rsidRPr="002E1E2C">
        <w:rPr>
          <w:rFonts w:asciiTheme="majorHAnsi" w:hAnsiTheme="majorHAnsi" w:cs="Calibri"/>
          <w:b w:val="0"/>
          <w:color w:val="000000"/>
          <w:sz w:val="18"/>
          <w:szCs w:val="18"/>
          <w:shd w:val="clear" w:color="auto" w:fill="FFFFFF"/>
        </w:rPr>
        <w:t>g/mL, 15</w:t>
      </w:r>
      <w:r w:rsidR="00A93C0B" w:rsidRPr="002E1E2C">
        <w:rPr>
          <w:rFonts w:asciiTheme="majorHAnsi" w:hAnsiTheme="majorHAnsi" w:cs="Lucida Sans Unicode"/>
          <w:b w:val="0"/>
          <w:color w:val="000000"/>
          <w:sz w:val="18"/>
          <w:szCs w:val="18"/>
          <w:shd w:val="clear" w:color="auto" w:fill="FFFFFF"/>
        </w:rPr>
        <w:t>µ</w:t>
      </w:r>
      <w:r w:rsidRPr="002E1E2C">
        <w:rPr>
          <w:rFonts w:asciiTheme="majorHAnsi" w:hAnsiTheme="majorHAnsi" w:cs="Calibri"/>
          <w:b w:val="0"/>
          <w:color w:val="000000"/>
          <w:sz w:val="18"/>
          <w:szCs w:val="18"/>
          <w:shd w:val="clear" w:color="auto" w:fill="FFFFFF"/>
        </w:rPr>
        <w:t>g/mL and 25</w:t>
      </w:r>
      <w:r w:rsidR="00A93C0B" w:rsidRPr="002E1E2C">
        <w:rPr>
          <w:rFonts w:asciiTheme="majorHAnsi" w:hAnsiTheme="majorHAnsi" w:cs="Lucida Sans Unicode"/>
          <w:b w:val="0"/>
          <w:color w:val="000000"/>
          <w:sz w:val="18"/>
          <w:szCs w:val="18"/>
          <w:shd w:val="clear" w:color="auto" w:fill="FFFFFF"/>
        </w:rPr>
        <w:t>µ</w:t>
      </w:r>
      <w:r w:rsidRPr="002E1E2C">
        <w:rPr>
          <w:rFonts w:asciiTheme="majorHAnsi" w:hAnsiTheme="majorHAnsi" w:cs="Calibri"/>
          <w:b w:val="0"/>
          <w:color w:val="000000"/>
          <w:sz w:val="18"/>
          <w:szCs w:val="18"/>
          <w:shd w:val="clear" w:color="auto" w:fill="FFFFFF"/>
        </w:rPr>
        <w:t xml:space="preserve">g/mL). AcL3 was the most promising partition for U251, with </w:t>
      </w:r>
      <w:r w:rsidR="00763237" w:rsidRPr="002E1E2C">
        <w:rPr>
          <w:rFonts w:asciiTheme="majorHAnsi" w:hAnsiTheme="majorHAnsi" w:cs="Calibri"/>
          <w:b w:val="0"/>
          <w:color w:val="000000"/>
          <w:sz w:val="18"/>
          <w:szCs w:val="18"/>
          <w:shd w:val="clear" w:color="auto" w:fill="FFFFFF"/>
        </w:rPr>
        <w:t>I</w:t>
      </w:r>
      <w:r w:rsidRPr="002E1E2C">
        <w:rPr>
          <w:rFonts w:asciiTheme="majorHAnsi" w:hAnsiTheme="majorHAnsi" w:cs="Calibri"/>
          <w:b w:val="0"/>
          <w:color w:val="000000"/>
          <w:sz w:val="18"/>
          <w:szCs w:val="18"/>
          <w:shd w:val="clear" w:color="auto" w:fill="FFFFFF"/>
        </w:rPr>
        <w:t>C</w:t>
      </w:r>
      <w:r w:rsidRPr="002E1E2C">
        <w:rPr>
          <w:rFonts w:asciiTheme="majorHAnsi" w:hAnsiTheme="majorHAnsi" w:cs="Calibri"/>
          <w:b w:val="0"/>
          <w:color w:val="000000"/>
          <w:sz w:val="18"/>
          <w:szCs w:val="18"/>
          <w:shd w:val="clear" w:color="auto" w:fill="FFFFFF"/>
          <w:vertAlign w:val="subscript"/>
        </w:rPr>
        <w:t>50</w:t>
      </w:r>
      <w:r w:rsidR="00A93C0B" w:rsidRPr="002E1E2C">
        <w:rPr>
          <w:rFonts w:asciiTheme="majorHAnsi" w:hAnsiTheme="majorHAnsi" w:cs="Calibri"/>
          <w:b w:val="0"/>
          <w:color w:val="000000"/>
          <w:sz w:val="18"/>
          <w:szCs w:val="18"/>
          <w:shd w:val="clear" w:color="auto" w:fill="FFFFFF"/>
        </w:rPr>
        <w:t xml:space="preserve"> equal to 1.355</w:t>
      </w:r>
      <w:r w:rsidR="00A93C0B" w:rsidRPr="002E1E2C">
        <w:rPr>
          <w:rFonts w:asciiTheme="majorHAnsi" w:hAnsiTheme="majorHAnsi" w:cs="Lucida Sans Unicode"/>
          <w:b w:val="0"/>
          <w:color w:val="000000"/>
          <w:sz w:val="18"/>
          <w:szCs w:val="18"/>
          <w:shd w:val="clear" w:color="auto" w:fill="FFFFFF"/>
        </w:rPr>
        <w:t>µ</w:t>
      </w:r>
      <w:r w:rsidRPr="002E1E2C">
        <w:rPr>
          <w:rFonts w:asciiTheme="majorHAnsi" w:hAnsiTheme="majorHAnsi" w:cs="Calibri"/>
          <w:b w:val="0"/>
          <w:color w:val="000000"/>
          <w:sz w:val="18"/>
          <w:szCs w:val="18"/>
          <w:shd w:val="clear" w:color="auto" w:fill="FFFFFF"/>
        </w:rPr>
        <w:t xml:space="preserve">g/mL, and for </w:t>
      </w:r>
      <w:r w:rsidR="00BF6C23" w:rsidRPr="00BF6C23">
        <w:rPr>
          <w:rFonts w:asciiTheme="majorHAnsi" w:hAnsiTheme="majorHAnsi" w:cs="Calibri"/>
          <w:b w:val="0"/>
          <w:color w:val="000000"/>
          <w:sz w:val="18"/>
          <w:szCs w:val="18"/>
          <w:shd w:val="clear" w:color="auto" w:fill="FFFFFF"/>
        </w:rPr>
        <w:t>GAMG</w:t>
      </w:r>
      <w:r w:rsidRPr="002E1E2C">
        <w:rPr>
          <w:rFonts w:asciiTheme="majorHAnsi" w:hAnsiTheme="majorHAnsi" w:cs="Calibri"/>
          <w:b w:val="0"/>
          <w:color w:val="000000"/>
          <w:sz w:val="18"/>
          <w:szCs w:val="18"/>
          <w:shd w:val="clear" w:color="auto" w:fill="FFFFFF"/>
        </w:rPr>
        <w:t xml:space="preserve">   AcL1 partition shown the best result, </w:t>
      </w:r>
      <w:r w:rsidR="00763237" w:rsidRPr="002E1E2C">
        <w:rPr>
          <w:rFonts w:asciiTheme="majorHAnsi" w:hAnsiTheme="majorHAnsi" w:cs="Calibri"/>
          <w:b w:val="0"/>
          <w:color w:val="000000"/>
          <w:sz w:val="18"/>
          <w:szCs w:val="18"/>
          <w:shd w:val="clear" w:color="auto" w:fill="FFFFFF"/>
        </w:rPr>
        <w:t>I</w:t>
      </w:r>
      <w:r w:rsidRPr="002E1E2C">
        <w:rPr>
          <w:rFonts w:asciiTheme="majorHAnsi" w:hAnsiTheme="majorHAnsi" w:cs="Calibri"/>
          <w:b w:val="0"/>
          <w:color w:val="000000"/>
          <w:sz w:val="18"/>
          <w:szCs w:val="18"/>
          <w:shd w:val="clear" w:color="auto" w:fill="FFFFFF"/>
        </w:rPr>
        <w:t>C</w:t>
      </w:r>
      <w:r w:rsidRPr="002E1E2C">
        <w:rPr>
          <w:rFonts w:asciiTheme="majorHAnsi" w:hAnsiTheme="majorHAnsi" w:cs="Calibri"/>
          <w:b w:val="0"/>
          <w:color w:val="000000"/>
          <w:sz w:val="18"/>
          <w:szCs w:val="18"/>
          <w:shd w:val="clear" w:color="auto" w:fill="FFFFFF"/>
          <w:vertAlign w:val="subscript"/>
        </w:rPr>
        <w:t>50</w:t>
      </w:r>
      <w:r w:rsidR="00A93C0B" w:rsidRPr="002E1E2C">
        <w:rPr>
          <w:rFonts w:asciiTheme="majorHAnsi" w:hAnsiTheme="majorHAnsi" w:cs="Calibri"/>
          <w:b w:val="0"/>
          <w:color w:val="000000"/>
          <w:sz w:val="18"/>
          <w:szCs w:val="18"/>
          <w:shd w:val="clear" w:color="auto" w:fill="FFFFFF"/>
        </w:rPr>
        <w:t xml:space="preserve"> equal to 3.355</w:t>
      </w:r>
      <w:r w:rsidR="00A93C0B" w:rsidRPr="002E1E2C">
        <w:rPr>
          <w:rFonts w:asciiTheme="majorHAnsi" w:hAnsiTheme="majorHAnsi" w:cs="Lucida Sans Unicode"/>
          <w:b w:val="0"/>
          <w:color w:val="000000"/>
          <w:sz w:val="18"/>
          <w:szCs w:val="18"/>
          <w:shd w:val="clear" w:color="auto" w:fill="FFFFFF"/>
        </w:rPr>
        <w:t>µ</w:t>
      </w:r>
      <w:r w:rsidRPr="002E1E2C">
        <w:rPr>
          <w:rFonts w:asciiTheme="majorHAnsi" w:hAnsiTheme="majorHAnsi" w:cs="Calibri"/>
          <w:b w:val="0"/>
          <w:color w:val="000000"/>
          <w:sz w:val="18"/>
          <w:szCs w:val="18"/>
          <w:shd w:val="clear" w:color="auto" w:fill="FFFFFF"/>
        </w:rPr>
        <w:t>g/mL (Figure 1). Migration assay was performed using the "wound-healing" methodology and aimed to evaluate the potential inhibition on cell migration of the partitions against U251 cell lines. Cells were treated with the IC</w:t>
      </w:r>
      <w:r w:rsidRPr="002E1E2C">
        <w:rPr>
          <w:rFonts w:asciiTheme="majorHAnsi" w:hAnsiTheme="majorHAnsi" w:cs="Calibri"/>
          <w:b w:val="0"/>
          <w:color w:val="000000"/>
          <w:sz w:val="18"/>
          <w:szCs w:val="18"/>
          <w:shd w:val="clear" w:color="auto" w:fill="FFFFFF"/>
          <w:vertAlign w:val="subscript"/>
        </w:rPr>
        <w:t>50</w:t>
      </w:r>
      <w:r w:rsidRPr="002E1E2C">
        <w:rPr>
          <w:rFonts w:asciiTheme="majorHAnsi" w:hAnsiTheme="majorHAnsi" w:cs="Calibri"/>
          <w:b w:val="0"/>
          <w:color w:val="000000"/>
          <w:sz w:val="18"/>
          <w:szCs w:val="18"/>
          <w:shd w:val="clear" w:color="auto" w:fill="FFFFFF"/>
        </w:rPr>
        <w:t xml:space="preserve">, pre-determined </w:t>
      </w:r>
      <w:r w:rsidR="00991F34" w:rsidRPr="002E1E2C">
        <w:rPr>
          <w:rFonts w:asciiTheme="majorHAnsi" w:hAnsiTheme="majorHAnsi" w:cs="Calibri"/>
          <w:b w:val="0"/>
          <w:color w:val="000000"/>
          <w:sz w:val="18"/>
          <w:szCs w:val="18"/>
          <w:shd w:val="clear" w:color="auto" w:fill="FFFFFF"/>
        </w:rPr>
        <w:t>by MTT</w:t>
      </w:r>
      <w:r w:rsidRPr="002E1E2C">
        <w:rPr>
          <w:rFonts w:asciiTheme="majorHAnsi" w:hAnsiTheme="majorHAnsi" w:cs="Calibri"/>
          <w:b w:val="0"/>
          <w:color w:val="000000"/>
          <w:sz w:val="18"/>
          <w:szCs w:val="18"/>
          <w:shd w:val="clear" w:color="auto" w:fill="FFFFFF"/>
        </w:rPr>
        <w:t xml:space="preserve"> assay. Relative migration was es</w:t>
      </w:r>
      <w:r w:rsidR="00A93C0B" w:rsidRPr="002E1E2C">
        <w:rPr>
          <w:rFonts w:asciiTheme="majorHAnsi" w:hAnsiTheme="majorHAnsi" w:cs="Calibri"/>
          <w:b w:val="0"/>
          <w:color w:val="000000"/>
          <w:sz w:val="18"/>
          <w:szCs w:val="18"/>
          <w:shd w:val="clear" w:color="auto" w:fill="FFFFFF"/>
        </w:rPr>
        <w:t>timated by the formula: % wound</w:t>
      </w:r>
      <w:r w:rsidRPr="002E1E2C">
        <w:rPr>
          <w:rFonts w:asciiTheme="majorHAnsi" w:hAnsiTheme="majorHAnsi" w:cs="Calibri"/>
          <w:b w:val="0"/>
          <w:color w:val="000000"/>
          <w:sz w:val="18"/>
          <w:szCs w:val="18"/>
          <w:shd w:val="clear" w:color="auto" w:fill="FFFFFF"/>
        </w:rPr>
        <w:t xml:space="preserve">-healing percentage: (%) = 100 (AB)/A, where A is the width of the wounds before </w:t>
      </w:r>
      <w:r w:rsidR="00BF6C23">
        <w:rPr>
          <w:rFonts w:asciiTheme="majorHAnsi" w:hAnsiTheme="majorHAnsi" w:cs="Calibri"/>
          <w:b w:val="0"/>
          <w:color w:val="000000"/>
          <w:sz w:val="18"/>
          <w:szCs w:val="18"/>
          <w:shd w:val="clear" w:color="auto" w:fill="FFFFFF"/>
        </w:rPr>
        <w:t>t</w:t>
      </w:r>
      <w:r w:rsidR="00BF6C23" w:rsidRPr="002E1E2C">
        <w:rPr>
          <w:rFonts w:asciiTheme="majorHAnsi" w:hAnsiTheme="majorHAnsi" w:cs="Calibri"/>
          <w:b w:val="0"/>
          <w:color w:val="000000"/>
          <w:sz w:val="18"/>
          <w:szCs w:val="18"/>
          <w:shd w:val="clear" w:color="auto" w:fill="FFFFFF"/>
        </w:rPr>
        <w:t>reatment</w:t>
      </w:r>
      <w:r w:rsidRPr="002E1E2C">
        <w:rPr>
          <w:rFonts w:asciiTheme="majorHAnsi" w:hAnsiTheme="majorHAnsi" w:cs="Calibri"/>
          <w:b w:val="0"/>
          <w:color w:val="000000"/>
          <w:sz w:val="18"/>
          <w:szCs w:val="18"/>
          <w:shd w:val="clear" w:color="auto" w:fill="FFFFFF"/>
        </w:rPr>
        <w:t xml:space="preserve">, and B is the width of the wounds after treatment. The </w:t>
      </w:r>
      <w:r w:rsidR="00BF6C23">
        <w:rPr>
          <w:rFonts w:asciiTheme="majorHAnsi" w:hAnsiTheme="majorHAnsi" w:cs="Calibri"/>
          <w:b w:val="0"/>
          <w:color w:val="000000"/>
          <w:sz w:val="18"/>
          <w:szCs w:val="18"/>
          <w:shd w:val="clear" w:color="auto" w:fill="FFFFFF"/>
        </w:rPr>
        <w:t xml:space="preserve">images </w:t>
      </w:r>
      <w:r w:rsidRPr="002E1E2C">
        <w:rPr>
          <w:rFonts w:asciiTheme="majorHAnsi" w:hAnsiTheme="majorHAnsi" w:cs="Calibri"/>
          <w:b w:val="0"/>
          <w:color w:val="000000"/>
          <w:sz w:val="18"/>
          <w:szCs w:val="18"/>
          <w:shd w:val="clear" w:color="auto" w:fill="FFFFFF"/>
        </w:rPr>
        <w:t xml:space="preserve">were </w:t>
      </w:r>
      <w:r w:rsidR="00BF6C23">
        <w:rPr>
          <w:rFonts w:asciiTheme="majorHAnsi" w:hAnsiTheme="majorHAnsi" w:cs="Calibri"/>
          <w:b w:val="0"/>
          <w:color w:val="000000"/>
          <w:sz w:val="18"/>
          <w:szCs w:val="18"/>
          <w:shd w:val="clear" w:color="auto" w:fill="FFFFFF"/>
        </w:rPr>
        <w:t xml:space="preserve">obtained </w:t>
      </w:r>
      <w:r w:rsidRPr="002E1E2C">
        <w:rPr>
          <w:rFonts w:asciiTheme="majorHAnsi" w:hAnsiTheme="majorHAnsi" w:cs="Calibri"/>
          <w:b w:val="0"/>
          <w:color w:val="000000"/>
          <w:sz w:val="18"/>
          <w:szCs w:val="18"/>
          <w:shd w:val="clear" w:color="auto" w:fill="FFFFFF"/>
        </w:rPr>
        <w:t>at times 0, 12, 24 and 72 hours after treatment for measurements. AcL3 and AcL4 (Figure 2) shown to be the best compounds when analyzed the inhibitory potential of the extracts on cell migration</w:t>
      </w:r>
      <w:r w:rsidR="00525E52" w:rsidRPr="002E1E2C">
        <w:rPr>
          <w:rFonts w:asciiTheme="majorHAnsi" w:hAnsiTheme="majorHAnsi" w:cs="Calibri"/>
          <w:b w:val="0"/>
          <w:color w:val="000000"/>
          <w:sz w:val="18"/>
          <w:szCs w:val="18"/>
          <w:shd w:val="clear" w:color="auto" w:fill="FFFFFF"/>
        </w:rPr>
        <w:t>.</w:t>
      </w:r>
      <w:r w:rsidR="00A9710C">
        <w:rPr>
          <w:b w:val="0"/>
        </w:rPr>
        <w:br w:type="column"/>
      </w:r>
      <w:r w:rsidR="00313287">
        <w:rPr>
          <w:noProof/>
          <w:lang w:val="pt-BR" w:eastAsia="pt-BR"/>
        </w:rPr>
        <w:lastRenderedPageBreak/>
        <w:drawing>
          <wp:inline distT="0" distB="0" distL="0" distR="0" wp14:anchorId="06605C1D" wp14:editId="39BA7F94">
            <wp:extent cx="2729834" cy="20574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 1.png"/>
                    <pic:cNvPicPr/>
                  </pic:nvPicPr>
                  <pic:blipFill rotWithShape="1">
                    <a:blip r:embed="rId10" cstate="print">
                      <a:extLst>
                        <a:ext uri="{28A0092B-C50C-407E-A947-70E740481C1C}">
                          <a14:useLocalDpi xmlns:a14="http://schemas.microsoft.com/office/drawing/2010/main" val="0"/>
                        </a:ext>
                      </a:extLst>
                    </a:blip>
                    <a:srcRect t="744" r="5342"/>
                    <a:stretch/>
                  </pic:blipFill>
                  <pic:spPr bwMode="auto">
                    <a:xfrm>
                      <a:off x="0" y="0"/>
                      <a:ext cx="2729834" cy="2057400"/>
                    </a:xfrm>
                    <a:prstGeom prst="rect">
                      <a:avLst/>
                    </a:prstGeom>
                    <a:ln>
                      <a:noFill/>
                    </a:ln>
                    <a:extLst>
                      <a:ext uri="{53640926-AAD7-44D8-BBD7-CCE9431645EC}">
                        <a14:shadowObscured xmlns:a14="http://schemas.microsoft.com/office/drawing/2010/main"/>
                      </a:ext>
                    </a:extLst>
                  </pic:spPr>
                </pic:pic>
              </a:graphicData>
            </a:graphic>
          </wp:inline>
        </w:drawing>
      </w:r>
    </w:p>
    <w:p w14:paraId="1CF5F9F1" w14:textId="77777777" w:rsidR="00313287" w:rsidRPr="0003269B" w:rsidRDefault="0003269B" w:rsidP="0003269B">
      <w:pPr>
        <w:pStyle w:val="Ttulo3"/>
        <w:spacing w:before="74"/>
        <w:jc w:val="center"/>
        <w:rPr>
          <w:rFonts w:ascii="Tw Cen MT" w:hAnsi="Tw Cen MT"/>
          <w:sz w:val="18"/>
          <w:szCs w:val="18"/>
        </w:rPr>
      </w:pPr>
      <w:r w:rsidRPr="0003269B">
        <w:rPr>
          <w:rFonts w:ascii="Tw Cen MT" w:hAnsi="Tw Cen MT"/>
          <w:sz w:val="18"/>
          <w:szCs w:val="18"/>
        </w:rPr>
        <w:t>Figure 1.  Viability assay</w:t>
      </w:r>
    </w:p>
    <w:p w14:paraId="23824D5F" w14:textId="77777777" w:rsidR="00313287" w:rsidRDefault="00313287" w:rsidP="00313287">
      <w:pPr>
        <w:pStyle w:val="Ttulo3"/>
        <w:spacing w:before="74"/>
        <w:jc w:val="center"/>
      </w:pPr>
      <w:r>
        <w:rPr>
          <w:b w:val="0"/>
          <w:noProof/>
          <w:sz w:val="16"/>
          <w:lang w:val="pt-BR" w:eastAsia="pt-BR"/>
        </w:rPr>
        <w:drawing>
          <wp:inline distT="0" distB="0" distL="0" distR="0" wp14:anchorId="42BD2FB3" wp14:editId="6EDBC52F">
            <wp:extent cx="2783186" cy="11049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 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9690" cy="1123362"/>
                    </a:xfrm>
                    <a:prstGeom prst="rect">
                      <a:avLst/>
                    </a:prstGeom>
                  </pic:spPr>
                </pic:pic>
              </a:graphicData>
            </a:graphic>
          </wp:inline>
        </w:drawing>
      </w:r>
    </w:p>
    <w:p w14:paraId="58DEFF8A" w14:textId="77777777" w:rsidR="0003269B" w:rsidRPr="0003269B" w:rsidRDefault="0003269B" w:rsidP="0003269B">
      <w:pPr>
        <w:spacing w:line="204" w:lineRule="exact"/>
        <w:jc w:val="center"/>
        <w:rPr>
          <w:rFonts w:eastAsia="Arial" w:cs="Arial"/>
          <w:b/>
          <w:bCs/>
          <w:sz w:val="18"/>
          <w:szCs w:val="18"/>
        </w:rPr>
      </w:pPr>
      <w:r w:rsidRPr="0003269B">
        <w:rPr>
          <w:rFonts w:eastAsia="Arial" w:cs="Arial"/>
          <w:b/>
          <w:bCs/>
          <w:sz w:val="18"/>
          <w:szCs w:val="18"/>
        </w:rPr>
        <w:t>Figure 2. Visual analysis of wound-healing assay. Statistical analysis is not shown.</w:t>
      </w:r>
    </w:p>
    <w:p w14:paraId="7DFE3CA7" w14:textId="77777777" w:rsidR="007F035A" w:rsidRPr="0003269B" w:rsidRDefault="007F035A" w:rsidP="0003269B">
      <w:pPr>
        <w:pStyle w:val="PargrafodaLista"/>
        <w:numPr>
          <w:ilvl w:val="0"/>
          <w:numId w:val="6"/>
        </w:numPr>
        <w:spacing w:before="0" w:line="240" w:lineRule="auto"/>
        <w:ind w:left="357" w:firstLine="0"/>
        <w:rPr>
          <w:rFonts w:asciiTheme="minorHAnsi" w:hAnsiTheme="minorHAnsi" w:cstheme="minorHAnsi"/>
          <w:color w:val="000000"/>
          <w:sz w:val="18"/>
          <w:szCs w:val="18"/>
        </w:rPr>
      </w:pPr>
      <w:r w:rsidRPr="0003269B">
        <w:rPr>
          <w:rFonts w:asciiTheme="minorHAnsi" w:hAnsiTheme="minorHAnsi" w:cstheme="minorHAnsi"/>
          <w:color w:val="000000"/>
          <w:sz w:val="18"/>
          <w:szCs w:val="18"/>
        </w:rPr>
        <w:t>GOSS, Paul E.; et al. Planning cancer control in Latin America and the Caribbean. The Lancet. Oncology PMID: 23628188, v. 14, n. 5, p. 391–</w:t>
      </w:r>
      <w:proofErr w:type="gramStart"/>
      <w:r w:rsidRPr="0003269B">
        <w:rPr>
          <w:rFonts w:asciiTheme="minorHAnsi" w:hAnsiTheme="minorHAnsi" w:cstheme="minorHAnsi"/>
          <w:color w:val="000000"/>
          <w:sz w:val="18"/>
          <w:szCs w:val="18"/>
        </w:rPr>
        <w:t>436 ,</w:t>
      </w:r>
      <w:proofErr w:type="gramEnd"/>
      <w:r w:rsidRPr="0003269B">
        <w:rPr>
          <w:rFonts w:asciiTheme="minorHAnsi" w:hAnsiTheme="minorHAnsi" w:cstheme="minorHAnsi"/>
          <w:color w:val="000000"/>
          <w:sz w:val="18"/>
          <w:szCs w:val="18"/>
        </w:rPr>
        <w:t xml:space="preserve"> abr. 2013.</w:t>
      </w:r>
    </w:p>
    <w:p w14:paraId="1D69C59C" w14:textId="77777777" w:rsidR="00763237" w:rsidRPr="00763237" w:rsidRDefault="0003269B" w:rsidP="00763237">
      <w:pPr>
        <w:pStyle w:val="PargrafodaLista"/>
        <w:numPr>
          <w:ilvl w:val="0"/>
          <w:numId w:val="6"/>
        </w:numPr>
        <w:spacing w:before="0" w:line="240" w:lineRule="auto"/>
        <w:ind w:left="357" w:firstLine="0"/>
        <w:rPr>
          <w:rFonts w:asciiTheme="minorHAnsi" w:hAnsiTheme="minorHAnsi" w:cstheme="minorHAnsi"/>
          <w:b/>
          <w:sz w:val="18"/>
          <w:szCs w:val="18"/>
        </w:rPr>
      </w:pPr>
      <w:r w:rsidRPr="0003269B">
        <w:rPr>
          <w:rFonts w:asciiTheme="minorHAnsi" w:hAnsiTheme="minorHAnsi" w:cstheme="minorHAnsi"/>
          <w:color w:val="000000"/>
          <w:sz w:val="18"/>
          <w:szCs w:val="18"/>
        </w:rPr>
        <w:t xml:space="preserve">SHAHAR, Tal et al. The impact of enrollment in clinical trials on survival of patients with glioblastoma. Journal of Clinical Neuroscience: Official Journal of the Neurosurgical Society of </w:t>
      </w:r>
      <w:r w:rsidRPr="00763237">
        <w:rPr>
          <w:rFonts w:asciiTheme="minorHAnsi" w:hAnsiTheme="minorHAnsi" w:cstheme="minorHAnsi"/>
          <w:color w:val="000000"/>
          <w:sz w:val="18"/>
          <w:szCs w:val="18"/>
        </w:rPr>
        <w:t>Australasia PMID: 22989795, v. 19, n. 11, p. 1530–</w:t>
      </w:r>
      <w:proofErr w:type="gramStart"/>
      <w:r w:rsidRPr="00763237">
        <w:rPr>
          <w:rFonts w:asciiTheme="minorHAnsi" w:hAnsiTheme="minorHAnsi" w:cstheme="minorHAnsi"/>
          <w:color w:val="000000"/>
          <w:sz w:val="18"/>
          <w:szCs w:val="18"/>
        </w:rPr>
        <w:t>1534 ,</w:t>
      </w:r>
      <w:proofErr w:type="gramEnd"/>
      <w:r w:rsidRPr="00763237">
        <w:rPr>
          <w:rFonts w:asciiTheme="minorHAnsi" w:hAnsiTheme="minorHAnsi" w:cstheme="minorHAnsi"/>
          <w:color w:val="000000"/>
          <w:sz w:val="18"/>
          <w:szCs w:val="18"/>
        </w:rPr>
        <w:t xml:space="preserve"> </w:t>
      </w:r>
      <w:proofErr w:type="spellStart"/>
      <w:r w:rsidRPr="00763237">
        <w:rPr>
          <w:rFonts w:asciiTheme="minorHAnsi" w:hAnsiTheme="minorHAnsi" w:cstheme="minorHAnsi"/>
          <w:color w:val="000000"/>
          <w:sz w:val="18"/>
          <w:szCs w:val="18"/>
        </w:rPr>
        <w:t>nov.</w:t>
      </w:r>
      <w:proofErr w:type="spellEnd"/>
      <w:r w:rsidRPr="00763237">
        <w:rPr>
          <w:rFonts w:asciiTheme="minorHAnsi" w:hAnsiTheme="minorHAnsi" w:cstheme="minorHAnsi"/>
          <w:color w:val="000000"/>
          <w:sz w:val="18"/>
          <w:szCs w:val="18"/>
        </w:rPr>
        <w:t xml:space="preserve"> 2012.</w:t>
      </w:r>
    </w:p>
    <w:p w14:paraId="7DCEBDB8" w14:textId="77777777" w:rsidR="00763237" w:rsidRPr="00763237" w:rsidRDefault="00763237" w:rsidP="00763237">
      <w:pPr>
        <w:pStyle w:val="PargrafodaLista"/>
        <w:numPr>
          <w:ilvl w:val="0"/>
          <w:numId w:val="6"/>
        </w:numPr>
        <w:spacing w:before="0" w:line="240" w:lineRule="auto"/>
        <w:ind w:left="357" w:firstLine="0"/>
        <w:rPr>
          <w:rFonts w:asciiTheme="minorHAnsi" w:hAnsiTheme="minorHAnsi" w:cstheme="minorHAnsi"/>
          <w:b/>
          <w:sz w:val="18"/>
          <w:szCs w:val="18"/>
        </w:rPr>
      </w:pPr>
      <w:r w:rsidRPr="00763237">
        <w:rPr>
          <w:rFonts w:asciiTheme="minorHAnsi" w:eastAsia="Arial" w:hAnsiTheme="minorHAnsi" w:cstheme="minorHAnsi"/>
          <w:sz w:val="18"/>
          <w:szCs w:val="18"/>
          <w:lang w:val="pt-BR"/>
        </w:rPr>
        <w:t xml:space="preserve">FORMAGIO, AS; VIEIRA, MC; VOLOBUFF, CR; SILVA, MS; MATOS, AI; CARDOSO, CA. </w:t>
      </w:r>
      <w:r w:rsidRPr="00763237">
        <w:rPr>
          <w:rFonts w:asciiTheme="minorHAnsi" w:eastAsia="Arial" w:hAnsiTheme="minorHAnsi" w:cstheme="minorHAnsi"/>
          <w:i/>
          <w:sz w:val="18"/>
          <w:szCs w:val="18"/>
        </w:rPr>
        <w:t>In vitro</w:t>
      </w:r>
      <w:r w:rsidRPr="00763237">
        <w:rPr>
          <w:rFonts w:asciiTheme="minorHAnsi" w:eastAsia="Arial" w:hAnsiTheme="minorHAnsi" w:cstheme="minorHAnsi"/>
          <w:sz w:val="18"/>
          <w:szCs w:val="18"/>
        </w:rPr>
        <w:t xml:space="preserve"> biological screening of the anticholinesterase and antiproliferative activities of medicinal plants belonging to </w:t>
      </w:r>
      <w:proofErr w:type="spellStart"/>
      <w:r w:rsidRPr="00763237">
        <w:rPr>
          <w:rFonts w:asciiTheme="minorHAnsi" w:eastAsia="Arial" w:hAnsiTheme="minorHAnsi" w:cstheme="minorHAnsi"/>
          <w:i/>
          <w:sz w:val="18"/>
          <w:szCs w:val="18"/>
        </w:rPr>
        <w:t>Annonaceae</w:t>
      </w:r>
      <w:proofErr w:type="spellEnd"/>
      <w:r w:rsidRPr="00763237">
        <w:rPr>
          <w:rFonts w:asciiTheme="minorHAnsi" w:eastAsia="Arial" w:hAnsiTheme="minorHAnsi" w:cstheme="minorHAnsi"/>
          <w:sz w:val="18"/>
          <w:szCs w:val="18"/>
        </w:rPr>
        <w:t xml:space="preserve">. </w:t>
      </w:r>
      <w:proofErr w:type="spellStart"/>
      <w:r w:rsidRPr="00763237">
        <w:rPr>
          <w:rFonts w:asciiTheme="minorHAnsi" w:eastAsia="Arial" w:hAnsiTheme="minorHAnsi" w:cstheme="minorHAnsi"/>
          <w:sz w:val="18"/>
          <w:szCs w:val="18"/>
        </w:rPr>
        <w:t>Braz</w:t>
      </w:r>
      <w:proofErr w:type="spellEnd"/>
      <w:r w:rsidRPr="00763237">
        <w:rPr>
          <w:rFonts w:asciiTheme="minorHAnsi" w:eastAsia="Arial" w:hAnsiTheme="minorHAnsi" w:cstheme="minorHAnsi"/>
          <w:sz w:val="18"/>
          <w:szCs w:val="18"/>
        </w:rPr>
        <w:t xml:space="preserve"> J Med </w:t>
      </w:r>
      <w:proofErr w:type="spellStart"/>
      <w:r w:rsidRPr="00763237">
        <w:rPr>
          <w:rFonts w:asciiTheme="minorHAnsi" w:eastAsia="Arial" w:hAnsiTheme="minorHAnsi" w:cstheme="minorHAnsi"/>
          <w:sz w:val="18"/>
          <w:szCs w:val="18"/>
        </w:rPr>
        <w:t>Biol</w:t>
      </w:r>
      <w:proofErr w:type="spellEnd"/>
      <w:r w:rsidRPr="00763237">
        <w:rPr>
          <w:rFonts w:asciiTheme="minorHAnsi" w:eastAsia="Arial" w:hAnsiTheme="minorHAnsi" w:cstheme="minorHAnsi"/>
          <w:sz w:val="18"/>
          <w:szCs w:val="18"/>
        </w:rPr>
        <w:t xml:space="preserve"> Res. 2015</w:t>
      </w:r>
      <w:proofErr w:type="gramStart"/>
      <w:r w:rsidRPr="00763237">
        <w:rPr>
          <w:rFonts w:asciiTheme="minorHAnsi" w:eastAsia="Arial" w:hAnsiTheme="minorHAnsi" w:cstheme="minorHAnsi"/>
          <w:sz w:val="18"/>
          <w:szCs w:val="18"/>
        </w:rPr>
        <w:t>;48:308</w:t>
      </w:r>
      <w:proofErr w:type="gramEnd"/>
      <w:r w:rsidRPr="00763237">
        <w:rPr>
          <w:rFonts w:asciiTheme="minorHAnsi" w:eastAsia="Arial" w:hAnsiTheme="minorHAnsi" w:cstheme="minorHAnsi"/>
          <w:sz w:val="18"/>
          <w:szCs w:val="18"/>
        </w:rPr>
        <w:t>–15.</w:t>
      </w:r>
    </w:p>
    <w:p w14:paraId="7F514A0E" w14:textId="77777777" w:rsidR="00763237" w:rsidRDefault="00763237" w:rsidP="00763237">
      <w:pPr>
        <w:pStyle w:val="PargrafodaLista"/>
        <w:numPr>
          <w:ilvl w:val="0"/>
          <w:numId w:val="6"/>
        </w:numPr>
        <w:spacing w:before="0" w:line="240" w:lineRule="auto"/>
        <w:ind w:left="357" w:firstLine="0"/>
        <w:rPr>
          <w:rFonts w:ascii="Arial" w:eastAsia="Arial" w:hAnsi="Arial"/>
          <w:sz w:val="18"/>
          <w:szCs w:val="18"/>
        </w:rPr>
      </w:pPr>
      <w:r w:rsidRPr="00763237">
        <w:rPr>
          <w:rFonts w:ascii="Arial" w:eastAsia="Arial" w:hAnsi="Arial"/>
          <w:sz w:val="18"/>
          <w:szCs w:val="18"/>
        </w:rPr>
        <w:t>HANAHAN, Douglas; WEINBERG, Robert A. Hallmarks of cancer: the next generation. Cell PMID: 21376230, v. 144, n. 5, p. 646–</w:t>
      </w:r>
      <w:proofErr w:type="gramStart"/>
      <w:r w:rsidRPr="00763237">
        <w:rPr>
          <w:rFonts w:ascii="Arial" w:eastAsia="Arial" w:hAnsi="Arial"/>
          <w:sz w:val="18"/>
          <w:szCs w:val="18"/>
        </w:rPr>
        <w:t>674 ,</w:t>
      </w:r>
      <w:proofErr w:type="gramEnd"/>
      <w:r w:rsidRPr="00763237">
        <w:rPr>
          <w:rFonts w:ascii="Arial" w:eastAsia="Arial" w:hAnsi="Arial"/>
          <w:sz w:val="18"/>
          <w:szCs w:val="18"/>
        </w:rPr>
        <w:t xml:space="preserve"> 4 mar. 2011.</w:t>
      </w:r>
    </w:p>
    <w:p w14:paraId="6C92F1FF" w14:textId="77777777" w:rsidR="00763237" w:rsidRPr="00763237" w:rsidRDefault="00763237" w:rsidP="00763237">
      <w:pPr>
        <w:pStyle w:val="PargrafodaLista"/>
        <w:numPr>
          <w:ilvl w:val="0"/>
          <w:numId w:val="6"/>
        </w:numPr>
        <w:spacing w:before="0" w:line="240" w:lineRule="auto"/>
        <w:ind w:left="357" w:firstLine="0"/>
        <w:rPr>
          <w:rFonts w:ascii="Arial" w:eastAsia="Arial" w:hAnsi="Arial"/>
          <w:sz w:val="18"/>
          <w:szCs w:val="18"/>
          <w:lang w:val="pt-BR"/>
        </w:rPr>
      </w:pPr>
      <w:r>
        <w:rPr>
          <w:rFonts w:asciiTheme="minorHAnsi" w:eastAsia="Arial" w:hAnsiTheme="minorHAnsi" w:cstheme="minorHAnsi"/>
          <w:sz w:val="18"/>
          <w:szCs w:val="18"/>
          <w:lang w:val="pt-BR"/>
        </w:rPr>
        <w:t>INCA -</w:t>
      </w:r>
      <w:r w:rsidRPr="00763237">
        <w:rPr>
          <w:rFonts w:asciiTheme="minorHAnsi" w:eastAsia="Arial" w:hAnsiTheme="minorHAnsi" w:cstheme="minorHAnsi"/>
          <w:sz w:val="18"/>
          <w:szCs w:val="18"/>
          <w:lang w:val="pt-BR"/>
        </w:rPr>
        <w:t>INSTITUTO NACIONAL DO CÂNCER, 2015. Estimativa 2016:</w:t>
      </w:r>
      <w:r>
        <w:rPr>
          <w:rFonts w:asciiTheme="minorHAnsi" w:eastAsia="Arial" w:hAnsiTheme="minorHAnsi" w:cstheme="minorHAnsi"/>
          <w:sz w:val="18"/>
          <w:szCs w:val="18"/>
          <w:lang w:val="pt-BR"/>
        </w:rPr>
        <w:t xml:space="preserve"> incidência de câncer no Brasil. </w:t>
      </w:r>
      <w:r w:rsidRPr="00763237">
        <w:rPr>
          <w:rFonts w:asciiTheme="minorHAnsi" w:eastAsia="Arial" w:hAnsiTheme="minorHAnsi" w:cstheme="minorHAnsi"/>
          <w:sz w:val="18"/>
          <w:szCs w:val="18"/>
          <w:lang w:val="pt-BR"/>
        </w:rPr>
        <w:t>Disponível em &lt; http://www.inca.gov.br/estimativa/2016/estimativa-2016-v11.pdf&gt; Acesso em: 31 mar. 2017</w:t>
      </w:r>
      <w:r w:rsidRPr="00763237">
        <w:rPr>
          <w:rFonts w:ascii="Arial" w:eastAsia="Arial" w:hAnsi="Arial"/>
          <w:sz w:val="23"/>
          <w:lang w:val="pt-BR"/>
        </w:rPr>
        <w:t>.</w:t>
      </w:r>
    </w:p>
    <w:p w14:paraId="5C5AA7AA" w14:textId="77777777" w:rsidR="00AE3E37" w:rsidRDefault="00AE3E37" w:rsidP="00763237">
      <w:pPr>
        <w:rPr>
          <w:lang w:val="pt-BR"/>
        </w:rPr>
      </w:pPr>
    </w:p>
    <w:p w14:paraId="63D75068" w14:textId="77777777" w:rsidR="002E1E2C" w:rsidRPr="00021808" w:rsidRDefault="002E1E2C" w:rsidP="002E1E2C">
      <w:pPr>
        <w:pStyle w:val="Ttulo3"/>
        <w:spacing w:before="74"/>
        <w:jc w:val="both"/>
        <w:rPr>
          <w:sz w:val="18"/>
          <w:szCs w:val="18"/>
        </w:rPr>
      </w:pPr>
      <w:r w:rsidRPr="00021808">
        <w:rPr>
          <w:sz w:val="18"/>
          <w:szCs w:val="18"/>
        </w:rPr>
        <w:t xml:space="preserve">Acknowledgment: CNPQ, FAPEMIG, UFSJ. </w:t>
      </w:r>
    </w:p>
    <w:p w14:paraId="21F8E0DD" w14:textId="77777777" w:rsidR="002E1E2C" w:rsidRPr="00763237" w:rsidRDefault="002E1E2C" w:rsidP="00763237">
      <w:pPr>
        <w:rPr>
          <w:lang w:val="pt-BR"/>
        </w:rPr>
        <w:sectPr w:rsidR="002E1E2C" w:rsidRPr="00763237">
          <w:type w:val="continuous"/>
          <w:pgSz w:w="11910" w:h="16840"/>
          <w:pgMar w:top="1740" w:right="600" w:bottom="840" w:left="620" w:header="720" w:footer="720" w:gutter="0"/>
          <w:cols w:num="2" w:space="720" w:equalWidth="0">
            <w:col w:w="5214" w:space="138"/>
            <w:col w:w="5338"/>
          </w:cols>
        </w:sectPr>
      </w:pPr>
      <w:bookmarkStart w:id="0" w:name="_GoBack"/>
    </w:p>
    <w:p w14:paraId="5634829E" w14:textId="77777777" w:rsidR="002E1E2C" w:rsidRDefault="002E1E2C">
      <w:pPr>
        <w:pStyle w:val="Corpodetexto"/>
        <w:rPr>
          <w:noProof/>
          <w:lang w:val="pt-BR" w:eastAsia="pt-BR"/>
        </w:rPr>
      </w:pPr>
    </w:p>
    <w:bookmarkEnd w:id="0"/>
    <w:p w14:paraId="1CDF117B" w14:textId="550B1F44" w:rsidR="00AE3E37" w:rsidRPr="00763237" w:rsidRDefault="00AE3E37">
      <w:pPr>
        <w:pStyle w:val="Corpodetexto"/>
        <w:rPr>
          <w:rFonts w:ascii="Calibri"/>
          <w:sz w:val="20"/>
          <w:lang w:val="pt-BR"/>
        </w:rPr>
      </w:pPr>
    </w:p>
    <w:p w14:paraId="34AE64AA" w14:textId="26BB5377" w:rsidR="00AE3E37" w:rsidRDefault="002E1E2C">
      <w:pPr>
        <w:pStyle w:val="Corpodetexto"/>
        <w:spacing w:line="40" w:lineRule="exact"/>
        <w:ind w:left="2202"/>
        <w:rPr>
          <w:rFonts w:ascii="Calibri"/>
          <w:sz w:val="4"/>
        </w:rPr>
      </w:pPr>
      <w:r>
        <w:rPr>
          <w:noProof/>
          <w:lang w:val="pt-BR" w:eastAsia="pt-BR"/>
        </w:rPr>
        <w:lastRenderedPageBreak/>
        <w:drawing>
          <wp:anchor distT="0" distB="0" distL="114300" distR="114300" simplePos="0" relativeHeight="251658752" behindDoc="0" locked="0" layoutInCell="1" allowOverlap="1" wp14:anchorId="00289024" wp14:editId="5E881755">
            <wp:simplePos x="0" y="0"/>
            <wp:positionH relativeFrom="margin">
              <wp:posOffset>57150</wp:posOffset>
            </wp:positionH>
            <wp:positionV relativeFrom="margin">
              <wp:posOffset>-76200</wp:posOffset>
            </wp:positionV>
            <wp:extent cx="676275" cy="647700"/>
            <wp:effectExtent l="0" t="0" r="9525" b="0"/>
            <wp:wrapSquare wrapText="bothSides"/>
            <wp:docPr id="30" name="Imagem 30" descr="C:\Users\Lapatex\AppData\Local\Microsoft\Windows\INetCacheContent.Word\thumbnail_11742857_1094268053920147_260656931371999839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Lapatex\AppData\Local\Microsoft\Windows\INetCacheContent.Word\thumbnail_11742857_1094268053920147_2606569313719998394_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6275" cy="647700"/>
                    </a:xfrm>
                    <a:prstGeom prst="rect">
                      <a:avLst/>
                    </a:prstGeom>
                    <a:noFill/>
                    <a:ln>
                      <a:noFill/>
                    </a:ln>
                  </pic:spPr>
                </pic:pic>
              </a:graphicData>
            </a:graphic>
          </wp:anchor>
        </w:drawing>
      </w:r>
      <w:r w:rsidR="00292ED9">
        <w:rPr>
          <w:rFonts w:ascii="Calibri"/>
          <w:noProof/>
          <w:sz w:val="4"/>
          <w:lang w:val="pt-BR" w:eastAsia="pt-BR"/>
        </w:rPr>
        <mc:AlternateContent>
          <mc:Choice Requires="wpg">
            <w:drawing>
              <wp:inline distT="0" distB="0" distL="0" distR="0" wp14:anchorId="24848935" wp14:editId="0B9078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C055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158A474" w14:textId="77777777" w:rsidR="00AE3E37" w:rsidRDefault="008756E6" w:rsidP="00404E5B">
      <w:pPr>
        <w:spacing w:before="92"/>
        <w:ind w:right="4234"/>
        <w:rPr>
          <w:rFonts w:ascii="Arial"/>
        </w:rPr>
      </w:pPr>
      <w:r>
        <w:rPr>
          <w:noProof/>
        </w:rPr>
        <w:t xml:space="preserve">              </w:t>
      </w:r>
      <w:r w:rsidR="00583F82" w:rsidRPr="00763237">
        <w:rPr>
          <w:noProof/>
          <w:lang w:eastAsia="pt-BR"/>
        </w:rPr>
        <w:t xml:space="preserve"> </w:t>
      </w:r>
    </w:p>
    <w:p w14:paraId="60A9AFAF" w14:textId="77777777" w:rsidR="00A93C0B" w:rsidRDefault="00583F82" w:rsidP="00A93C0B">
      <w:pPr>
        <w:spacing w:before="41" w:line="154" w:lineRule="exact"/>
        <w:ind w:left="213" w:right="231"/>
        <w:jc w:val="both"/>
        <w:rPr>
          <w:rFonts w:ascii="Arial" w:hAnsi="Arial" w:cs="Arial"/>
          <w:color w:val="000000"/>
          <w:sz w:val="14"/>
          <w:szCs w:val="14"/>
          <w:shd w:val="clear" w:color="auto" w:fill="FFFFFF"/>
        </w:rPr>
      </w:pPr>
      <w:r w:rsidRPr="007C4E53">
        <w:rPr>
          <w:rFonts w:ascii="Arial" w:hAnsi="Arial" w:cs="Arial"/>
          <w:color w:val="000000"/>
          <w:sz w:val="14"/>
          <w:szCs w:val="14"/>
          <w:shd w:val="clear" w:color="auto" w:fill="FFFFFF"/>
        </w:rPr>
        <w:t>Lorena Raspante de Sousa</w:t>
      </w:r>
      <w:r w:rsidR="007C4E53">
        <w:rPr>
          <w:rFonts w:ascii="Arial" w:hAnsi="Arial" w:cs="Arial"/>
          <w:color w:val="000000"/>
          <w:sz w:val="14"/>
          <w:szCs w:val="14"/>
          <w:shd w:val="clear" w:color="auto" w:fill="FFFFFF"/>
        </w:rPr>
        <w:t xml:space="preserve"> has formed in biology in 2015 </w:t>
      </w:r>
      <w:r w:rsidRPr="007C4E53">
        <w:rPr>
          <w:rFonts w:ascii="Arial" w:hAnsi="Arial" w:cs="Arial"/>
          <w:color w:val="000000"/>
          <w:sz w:val="14"/>
          <w:szCs w:val="14"/>
          <w:shd w:val="clear" w:color="auto" w:fill="FFFFFF"/>
        </w:rPr>
        <w:t xml:space="preserve">on University Federal of Pampa located </w:t>
      </w:r>
      <w:r w:rsidR="007C4E53">
        <w:rPr>
          <w:rFonts w:ascii="Arial" w:hAnsi="Arial" w:cs="Arial"/>
          <w:color w:val="000000"/>
          <w:sz w:val="14"/>
          <w:szCs w:val="14"/>
          <w:shd w:val="clear" w:color="auto" w:fill="FFFFFF"/>
        </w:rPr>
        <w:t>in SG, RS. Nowadays is master</w:t>
      </w:r>
      <w:r w:rsidR="006C6A8A">
        <w:rPr>
          <w:rFonts w:ascii="Arial" w:hAnsi="Arial" w:cs="Arial"/>
          <w:color w:val="000000"/>
          <w:sz w:val="14"/>
          <w:szCs w:val="14"/>
          <w:shd w:val="clear" w:color="auto" w:fill="FFFFFF"/>
        </w:rPr>
        <w:t>ing</w:t>
      </w:r>
      <w:r w:rsidR="007C4E53">
        <w:rPr>
          <w:rFonts w:ascii="Arial" w:hAnsi="Arial" w:cs="Arial"/>
          <w:color w:val="000000"/>
          <w:sz w:val="14"/>
          <w:szCs w:val="14"/>
          <w:shd w:val="clear" w:color="auto" w:fill="FFFFFF"/>
        </w:rPr>
        <w:t xml:space="preserve"> student on</w:t>
      </w:r>
      <w:r w:rsidRPr="007C4E53">
        <w:rPr>
          <w:rFonts w:ascii="Arial" w:hAnsi="Arial" w:cs="Arial"/>
          <w:color w:val="000000"/>
          <w:sz w:val="14"/>
          <w:szCs w:val="14"/>
          <w:shd w:val="clear" w:color="auto" w:fill="FFFFFF"/>
        </w:rPr>
        <w:t xml:space="preserve"> Biochemistry and Molecular Biology on University Federal of São Jo</w:t>
      </w:r>
      <w:r w:rsidR="007C4E53">
        <w:rPr>
          <w:rFonts w:ascii="Arial" w:hAnsi="Arial" w:cs="Arial"/>
          <w:color w:val="000000"/>
          <w:sz w:val="14"/>
          <w:szCs w:val="14"/>
          <w:shd w:val="clear" w:color="auto" w:fill="FFFFFF"/>
        </w:rPr>
        <w:t>a</w:t>
      </w:r>
      <w:r w:rsidRPr="007C4E53">
        <w:rPr>
          <w:rFonts w:ascii="Arial" w:hAnsi="Arial" w:cs="Arial"/>
          <w:color w:val="000000"/>
          <w:sz w:val="14"/>
          <w:szCs w:val="14"/>
          <w:shd w:val="clear" w:color="auto" w:fill="FFFFFF"/>
        </w:rPr>
        <w:t>o Del Rey located in Divin</w:t>
      </w:r>
      <w:r w:rsidR="007C4E53">
        <w:rPr>
          <w:rFonts w:ascii="Arial" w:hAnsi="Arial" w:cs="Arial"/>
          <w:color w:val="000000"/>
          <w:sz w:val="14"/>
          <w:szCs w:val="14"/>
          <w:shd w:val="clear" w:color="auto" w:fill="FFFFFF"/>
        </w:rPr>
        <w:t>o</w:t>
      </w:r>
      <w:r w:rsidRPr="007C4E53">
        <w:rPr>
          <w:rFonts w:ascii="Arial" w:hAnsi="Arial" w:cs="Arial"/>
          <w:color w:val="000000"/>
          <w:sz w:val="14"/>
          <w:szCs w:val="14"/>
          <w:shd w:val="clear" w:color="auto" w:fill="FFFFFF"/>
        </w:rPr>
        <w:t>polis, MG. Actually, she works with glioblastomas cell lines, an aggressive tumor of the nervous central system of adults. In the past she worked with some others diseases such as Alzheimer's and Parkinson, using Drosophila melanogaster as an alternative model organism.</w:t>
      </w:r>
    </w:p>
    <w:p w14:paraId="68C5B998" w14:textId="77777777" w:rsidR="00AE3E37" w:rsidRPr="00A93C0B" w:rsidRDefault="007C4E53" w:rsidP="00A93C0B">
      <w:pPr>
        <w:spacing w:before="41" w:line="154" w:lineRule="exact"/>
        <w:ind w:left="213" w:right="231"/>
        <w:jc w:val="both"/>
        <w:rPr>
          <w:rFonts w:ascii="Arial" w:hAnsi="Arial" w:cs="Arial"/>
          <w:sz w:val="14"/>
          <w:szCs w:val="14"/>
        </w:rPr>
        <w:sectPr w:rsidR="00AE3E37" w:rsidRPr="00A93C0B">
          <w:type w:val="continuous"/>
          <w:pgSz w:w="11910" w:h="16840"/>
          <w:pgMar w:top="1740" w:right="600" w:bottom="840" w:left="620" w:header="720" w:footer="720" w:gutter="0"/>
          <w:cols w:space="720"/>
        </w:sectPr>
      </w:pPr>
      <w:r>
        <w:rPr>
          <w:rFonts w:ascii="Arial"/>
          <w:sz w:val="14"/>
        </w:rPr>
        <w:t>Email</w:t>
      </w:r>
      <w:r w:rsidRPr="007C4E53">
        <w:rPr>
          <w:rFonts w:ascii="Arial"/>
          <w:sz w:val="14"/>
        </w:rPr>
        <w:t>:</w:t>
      </w:r>
      <w:r w:rsidR="00A93C0B">
        <w:rPr>
          <w:rFonts w:ascii="Arial"/>
          <w:sz w:val="14"/>
        </w:rPr>
        <w:t>lorena_raspanti@hotmail.com</w:t>
      </w:r>
      <w:r>
        <w:rPr>
          <w:rFonts w:ascii="Arial"/>
          <w:sz w:val="14"/>
        </w:rPr>
        <w:t xml:space="preserve">                                 </w:t>
      </w:r>
      <w:r w:rsidR="00292ED9">
        <w:rPr>
          <w:noProof/>
          <w:lang w:val="pt-BR" w:eastAsia="pt-BR"/>
        </w:rPr>
        <mc:AlternateContent>
          <mc:Choice Requires="wps">
            <w:drawing>
              <wp:anchor distT="0" distB="0" distL="0" distR="0" simplePos="0" relativeHeight="1072" behindDoc="0" locked="0" layoutInCell="1" allowOverlap="1" wp14:anchorId="40686342" wp14:editId="7FB4B24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B2703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46DE114" w14:textId="77777777" w:rsidR="00AE3E37" w:rsidRDefault="00AE3E37" w:rsidP="00525E52">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C9C1B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C9C1B0" w16cid:durableId="1D51189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5BF80D" w14:textId="77777777" w:rsidR="008B5B92" w:rsidRDefault="008B5B92">
      <w:r>
        <w:separator/>
      </w:r>
    </w:p>
  </w:endnote>
  <w:endnote w:type="continuationSeparator" w:id="0">
    <w:p w14:paraId="040FF165" w14:textId="77777777" w:rsidR="008B5B92" w:rsidRDefault="008B5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E74F6" w14:textId="77777777"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251660288" behindDoc="1" locked="0" layoutInCell="1" allowOverlap="1" wp14:anchorId="44C862B3" wp14:editId="567F4B7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7A51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96176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4C862B3"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A47A51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96176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6432" behindDoc="1" locked="0" layoutInCell="1" allowOverlap="1" wp14:anchorId="6C7DDC6E" wp14:editId="337E528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204B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2CCC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7DDC6E" id="Text Box 2" o:spid="_x0000_s1029" type="#_x0000_t202" style="position:absolute;margin-left:252.1pt;margin-top:799.05pt;width:91.9pt;height:24.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D7204B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2CCC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72576" behindDoc="1" locked="0" layoutInCell="1" allowOverlap="1" wp14:anchorId="10302A75" wp14:editId="22D98D3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B63D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C2263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302A75" id="Text Box 1" o:spid="_x0000_s1030" type="#_x0000_t202" style="position:absolute;margin-left:468.9pt;margin-top:798.8pt;width:91.4pt;height:26.0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AAB63D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C2263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1CEADC" w14:textId="77777777" w:rsidR="008B5B92" w:rsidRDefault="008B5B92">
      <w:r>
        <w:separator/>
      </w:r>
    </w:p>
  </w:footnote>
  <w:footnote w:type="continuationSeparator" w:id="0">
    <w:p w14:paraId="2244C643" w14:textId="77777777" w:rsidR="008B5B92" w:rsidRDefault="008B5B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F06C4" w14:textId="77777777"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251648000" behindDoc="1" locked="0" layoutInCell="1" allowOverlap="1" wp14:anchorId="2F76FC82" wp14:editId="02C1CA7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A5D9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F76FC82"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F0A5D9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54144" behindDoc="1" locked="0" layoutInCell="1" allowOverlap="1" wp14:anchorId="5F8001E7" wp14:editId="4CD5E53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D62AA"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FEED8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8001E7" id="Text Box 4" o:spid="_x0000_s1027"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63D62AA"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FEED8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D136C"/>
    <w:multiLevelType w:val="hybridMultilevel"/>
    <w:tmpl w:val="EA2408F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37364E9"/>
    <w:multiLevelType w:val="hybridMultilevel"/>
    <w:tmpl w:val="253A728E"/>
    <w:lvl w:ilvl="0" w:tplc="14382F82">
      <w:start w:val="1"/>
      <w:numFmt w:val="decimal"/>
      <w:lvlText w:val="%1."/>
      <w:lvlJc w:val="left"/>
      <w:pPr>
        <w:ind w:left="1080" w:hanging="360"/>
      </w:pPr>
      <w:rPr>
        <w:rFonts w:ascii="Arial" w:hint="default"/>
        <w:b/>
        <w:color w:val="BF5A14"/>
        <w:sz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73DB5B72"/>
    <w:multiLevelType w:val="hybridMultilevel"/>
    <w:tmpl w:val="037C000C"/>
    <w:lvl w:ilvl="0" w:tplc="14382F82">
      <w:start w:val="1"/>
      <w:numFmt w:val="decimal"/>
      <w:lvlText w:val="%1."/>
      <w:lvlJc w:val="left"/>
      <w:pPr>
        <w:ind w:left="720" w:hanging="360"/>
      </w:pPr>
      <w:rPr>
        <w:rFonts w:ascii="Arial" w:hint="default"/>
        <w:b/>
        <w:color w:val="BF5A14"/>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1"/>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sy Iara Maciel">
    <w15:presenceInfo w15:providerId="Windows Live" w15:userId="8f0df087fb5596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TA1NzYyNzY1tLQ0MzRR0lEKTi0uzszPAykwqgUAa3Z95SwAAAA="/>
  </w:docVars>
  <w:rsids>
    <w:rsidRoot w:val="00AE3E37"/>
    <w:rsid w:val="0003269B"/>
    <w:rsid w:val="000E2911"/>
    <w:rsid w:val="001263DF"/>
    <w:rsid w:val="00292ED9"/>
    <w:rsid w:val="002E1E2C"/>
    <w:rsid w:val="00313287"/>
    <w:rsid w:val="00404E5B"/>
    <w:rsid w:val="00414F7B"/>
    <w:rsid w:val="004355DC"/>
    <w:rsid w:val="004742C8"/>
    <w:rsid w:val="004749B4"/>
    <w:rsid w:val="00494130"/>
    <w:rsid w:val="004F3523"/>
    <w:rsid w:val="00525E52"/>
    <w:rsid w:val="00583F82"/>
    <w:rsid w:val="005973B9"/>
    <w:rsid w:val="005B3A56"/>
    <w:rsid w:val="006060CE"/>
    <w:rsid w:val="00612328"/>
    <w:rsid w:val="0063497F"/>
    <w:rsid w:val="0063601A"/>
    <w:rsid w:val="006C6A8A"/>
    <w:rsid w:val="00763237"/>
    <w:rsid w:val="007B69CC"/>
    <w:rsid w:val="007C4E53"/>
    <w:rsid w:val="007F035A"/>
    <w:rsid w:val="00873DF0"/>
    <w:rsid w:val="008756E6"/>
    <w:rsid w:val="008B5B92"/>
    <w:rsid w:val="00970F05"/>
    <w:rsid w:val="00991F34"/>
    <w:rsid w:val="009B2D44"/>
    <w:rsid w:val="00A07E82"/>
    <w:rsid w:val="00A93C0B"/>
    <w:rsid w:val="00A9710C"/>
    <w:rsid w:val="00AC2D80"/>
    <w:rsid w:val="00AE3E37"/>
    <w:rsid w:val="00B21A57"/>
    <w:rsid w:val="00BA39B5"/>
    <w:rsid w:val="00BA46CE"/>
    <w:rsid w:val="00BF6C23"/>
    <w:rsid w:val="00C33602"/>
    <w:rsid w:val="00C8294B"/>
    <w:rsid w:val="00CD6F55"/>
    <w:rsid w:val="00DE3104"/>
    <w:rsid w:val="00F72EEA"/>
    <w:rsid w:val="00F84CAE"/>
    <w:rsid w:val="00FA58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B44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styleId="Refdecomentrio">
    <w:name w:val="annotation reference"/>
    <w:basedOn w:val="Fontepargpadro"/>
    <w:uiPriority w:val="99"/>
    <w:semiHidden/>
    <w:unhideWhenUsed/>
    <w:rsid w:val="00BF6C23"/>
    <w:rPr>
      <w:sz w:val="16"/>
      <w:szCs w:val="16"/>
    </w:rPr>
  </w:style>
  <w:style w:type="paragraph" w:styleId="Textodecomentrio">
    <w:name w:val="annotation text"/>
    <w:basedOn w:val="Normal"/>
    <w:link w:val="TextodecomentrioChar"/>
    <w:uiPriority w:val="99"/>
    <w:semiHidden/>
    <w:unhideWhenUsed/>
    <w:rsid w:val="00BF6C23"/>
    <w:rPr>
      <w:sz w:val="20"/>
      <w:szCs w:val="20"/>
    </w:rPr>
  </w:style>
  <w:style w:type="character" w:customStyle="1" w:styleId="TextodecomentrioChar">
    <w:name w:val="Texto de comentário Char"/>
    <w:basedOn w:val="Fontepargpadro"/>
    <w:link w:val="Textodecomentrio"/>
    <w:uiPriority w:val="99"/>
    <w:semiHidden/>
    <w:rsid w:val="00BF6C23"/>
    <w:rPr>
      <w:rFonts w:ascii="Tw Cen MT" w:eastAsia="Tw Cen MT" w:hAnsi="Tw Cen MT" w:cs="Tw Cen MT"/>
      <w:sz w:val="20"/>
      <w:szCs w:val="20"/>
    </w:rPr>
  </w:style>
  <w:style w:type="paragraph" w:styleId="Assuntodocomentrio">
    <w:name w:val="annotation subject"/>
    <w:basedOn w:val="Textodecomentrio"/>
    <w:next w:val="Textodecomentrio"/>
    <w:link w:val="AssuntodocomentrioChar"/>
    <w:uiPriority w:val="99"/>
    <w:semiHidden/>
    <w:unhideWhenUsed/>
    <w:rsid w:val="00BF6C23"/>
    <w:rPr>
      <w:b/>
      <w:bCs/>
    </w:rPr>
  </w:style>
  <w:style w:type="character" w:customStyle="1" w:styleId="AssuntodocomentrioChar">
    <w:name w:val="Assunto do comentário Char"/>
    <w:basedOn w:val="TextodecomentrioChar"/>
    <w:link w:val="Assuntodocomentrio"/>
    <w:uiPriority w:val="99"/>
    <w:semiHidden/>
    <w:rsid w:val="00BF6C23"/>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styleId="Refdecomentrio">
    <w:name w:val="annotation reference"/>
    <w:basedOn w:val="Fontepargpadro"/>
    <w:uiPriority w:val="99"/>
    <w:semiHidden/>
    <w:unhideWhenUsed/>
    <w:rsid w:val="00BF6C23"/>
    <w:rPr>
      <w:sz w:val="16"/>
      <w:szCs w:val="16"/>
    </w:rPr>
  </w:style>
  <w:style w:type="paragraph" w:styleId="Textodecomentrio">
    <w:name w:val="annotation text"/>
    <w:basedOn w:val="Normal"/>
    <w:link w:val="TextodecomentrioChar"/>
    <w:uiPriority w:val="99"/>
    <w:semiHidden/>
    <w:unhideWhenUsed/>
    <w:rsid w:val="00BF6C23"/>
    <w:rPr>
      <w:sz w:val="20"/>
      <w:szCs w:val="20"/>
    </w:rPr>
  </w:style>
  <w:style w:type="character" w:customStyle="1" w:styleId="TextodecomentrioChar">
    <w:name w:val="Texto de comentário Char"/>
    <w:basedOn w:val="Fontepargpadro"/>
    <w:link w:val="Textodecomentrio"/>
    <w:uiPriority w:val="99"/>
    <w:semiHidden/>
    <w:rsid w:val="00BF6C23"/>
    <w:rPr>
      <w:rFonts w:ascii="Tw Cen MT" w:eastAsia="Tw Cen MT" w:hAnsi="Tw Cen MT" w:cs="Tw Cen MT"/>
      <w:sz w:val="20"/>
      <w:szCs w:val="20"/>
    </w:rPr>
  </w:style>
  <w:style w:type="paragraph" w:styleId="Assuntodocomentrio">
    <w:name w:val="annotation subject"/>
    <w:basedOn w:val="Textodecomentrio"/>
    <w:next w:val="Textodecomentrio"/>
    <w:link w:val="AssuntodocomentrioChar"/>
    <w:uiPriority w:val="99"/>
    <w:semiHidden/>
    <w:unhideWhenUsed/>
    <w:rsid w:val="00BF6C23"/>
    <w:rPr>
      <w:b/>
      <w:bCs/>
    </w:rPr>
  </w:style>
  <w:style w:type="character" w:customStyle="1" w:styleId="AssuntodocomentrioChar">
    <w:name w:val="Assunto do comentário Char"/>
    <w:basedOn w:val="TextodecomentrioChar"/>
    <w:link w:val="Assuntodocomentrio"/>
    <w:uiPriority w:val="99"/>
    <w:semiHidden/>
    <w:rsid w:val="00BF6C23"/>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microsoft.com/office/2016/09/relationships/commentsIds" Target="commentsIds.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3347</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ANA GABRIELA NET</cp:lastModifiedBy>
  <cp:revision>2</cp:revision>
  <cp:lastPrinted>2017-08-17T19:03:00Z</cp:lastPrinted>
  <dcterms:created xsi:type="dcterms:W3CDTF">2017-08-30T14:09:00Z</dcterms:created>
  <dcterms:modified xsi:type="dcterms:W3CDTF">2017-08-30T14:09:00Z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