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E5" w:rsidRPr="00F16C12" w:rsidRDefault="006D16E5" w:rsidP="006D16E5">
      <w:pPr>
        <w:spacing w:line="360" w:lineRule="auto"/>
        <w:jc w:val="center"/>
        <w:rPr>
          <w:rFonts w:ascii="Arial"/>
          <w:b/>
          <w:sz w:val="28"/>
          <w:szCs w:val="32"/>
        </w:rPr>
      </w:pPr>
      <w:r w:rsidRPr="00F16C12">
        <w:rPr>
          <w:rFonts w:ascii="Arial"/>
          <w:b/>
          <w:sz w:val="28"/>
          <w:szCs w:val="32"/>
        </w:rPr>
        <w:t>The Effect of Pender's Health Promotion Model in Improving the Nutritional Behavior of Overweight and Obese Women</w:t>
      </w:r>
    </w:p>
    <w:p w:rsidR="006D16E5" w:rsidRPr="00F16C12" w:rsidRDefault="006D16E5" w:rsidP="00D405BA">
      <w:pPr>
        <w:jc w:val="both"/>
        <w:rPr>
          <w:rFonts w:ascii="Times New Roman" w:hAnsi="Times New Roman" w:cs="Times New Roman"/>
          <w:sz w:val="18"/>
          <w:szCs w:val="18"/>
        </w:rPr>
      </w:pPr>
      <w:r w:rsidRPr="00F16C12">
        <w:rPr>
          <w:rFonts w:ascii="Times New Roman" w:hAnsi="Times New Roman" w:cs="Times New Roman"/>
          <w:sz w:val="18"/>
          <w:szCs w:val="18"/>
        </w:rPr>
        <w:t>Masoud Khodaveisi</w:t>
      </w:r>
      <w:r w:rsidR="005973B9" w:rsidRPr="00F16C12">
        <w:rPr>
          <w:rFonts w:ascii="Arial"/>
          <w:sz w:val="16"/>
          <w:szCs w:val="16"/>
        </w:rPr>
        <w:t xml:space="preserve">, PhD, </w:t>
      </w:r>
      <w:r w:rsidRPr="00F16C12">
        <w:rPr>
          <w:rFonts w:ascii="Times New Roman" w:hAnsi="Times New Roman" w:cs="Times New Roman"/>
          <w:sz w:val="18"/>
          <w:szCs w:val="18"/>
        </w:rPr>
        <w:t>Chronic Diseases (Home Care) Research Center</w:t>
      </w:r>
      <w:r w:rsidRPr="00F16C12">
        <w:rPr>
          <w:rFonts w:ascii="Times New Roman" w:hAnsi="Times New Roman" w:cs="Times New Roman"/>
          <w:sz w:val="14"/>
          <w:szCs w:val="14"/>
        </w:rPr>
        <w:t xml:space="preserve">, </w:t>
      </w:r>
      <w:r w:rsidRPr="00F16C12">
        <w:rPr>
          <w:rFonts w:ascii="Times New Roman" w:hAnsi="Times New Roman" w:cs="Times New Roman"/>
          <w:color w:val="000000"/>
          <w:sz w:val="18"/>
          <w:szCs w:val="18"/>
        </w:rPr>
        <w:t xml:space="preserve">Department of Community Health Nursing, </w:t>
      </w:r>
      <w:r w:rsidRPr="00F16C12">
        <w:rPr>
          <w:rFonts w:ascii="Times New Roman" w:hAnsi="Times New Roman" w:cs="Times New Roman"/>
          <w:sz w:val="18"/>
          <w:szCs w:val="18"/>
        </w:rPr>
        <w:t>Hamadan University of Medical Sciences, Hamadan, Iran.</w:t>
      </w:r>
    </w:p>
    <w:p w:rsidR="00F16C12" w:rsidRPr="00F16C12" w:rsidRDefault="006D16E5" w:rsidP="00F16C12">
      <w:pPr>
        <w:pStyle w:val="BodyText"/>
        <w:tabs>
          <w:tab w:val="left" w:pos="10530"/>
        </w:tabs>
        <w:spacing w:before="73" w:line="198" w:lineRule="exact"/>
        <w:ind w:right="430"/>
        <w:jc w:val="both"/>
        <w:rPr>
          <w:rFonts w:ascii="Times New Roman" w:hAnsi="Times New Roman" w:cs="Times New Roman"/>
        </w:rPr>
      </w:pPr>
      <w:r w:rsidRPr="00F16C12">
        <w:rPr>
          <w:rFonts w:ascii="Times New Roman" w:hAnsi="Times New Roman" w:cs="Times New Roman"/>
        </w:rPr>
        <w:t>Shima Farokhi</w:t>
      </w:r>
      <w:r w:rsidR="005973B9" w:rsidRPr="00F16C12">
        <w:rPr>
          <w:rFonts w:ascii="Arial"/>
          <w:sz w:val="12"/>
          <w:szCs w:val="12"/>
        </w:rPr>
        <w:t xml:space="preserve">, </w:t>
      </w:r>
      <w:r w:rsidRPr="00F16C12">
        <w:rPr>
          <w:rFonts w:ascii="Times New Roman" w:hAnsi="Times New Roman" w:cs="Times New Roman"/>
        </w:rPr>
        <w:t>M</w:t>
      </w:r>
      <w:r w:rsidR="00D405BA" w:rsidRPr="00F16C12">
        <w:rPr>
          <w:rFonts w:ascii="Times New Roman" w:hAnsi="Times New Roman" w:cs="Times New Roman"/>
        </w:rPr>
        <w:t>s</w:t>
      </w:r>
      <w:r w:rsidR="005973B9" w:rsidRPr="00F16C12">
        <w:rPr>
          <w:rFonts w:ascii="Arial"/>
          <w:sz w:val="12"/>
          <w:szCs w:val="12"/>
        </w:rPr>
        <w:t xml:space="preserve">, </w:t>
      </w:r>
      <w:r w:rsidRPr="00F16C12">
        <w:rPr>
          <w:rFonts w:ascii="Times New Roman" w:hAnsi="Times New Roman" w:cs="Times New Roman"/>
        </w:rPr>
        <w:t xml:space="preserve">Department of Community Health </w:t>
      </w:r>
      <w:r w:rsidRPr="00F16C12">
        <w:rPr>
          <w:rFonts w:ascii="Times New Roman" w:hAnsi="Times New Roman" w:cs="Times New Roman"/>
          <w:color w:val="000000"/>
        </w:rPr>
        <w:t>Nursing</w:t>
      </w:r>
      <w:r w:rsidRPr="00F16C12">
        <w:rPr>
          <w:rFonts w:ascii="Times New Roman" w:hAnsi="Times New Roman" w:cs="Times New Roman"/>
        </w:rPr>
        <w:t>, Hamadan University of Medical Sciences, Hamadan, Iran.</w:t>
      </w:r>
    </w:p>
    <w:p w:rsidR="00AE3E37" w:rsidRPr="00F16C12" w:rsidRDefault="00D00F59" w:rsidP="00D405BA">
      <w:pPr>
        <w:pStyle w:val="BodyText"/>
        <w:jc w:val="both"/>
        <w:rPr>
          <w:rFonts w:ascii="Arial"/>
          <w:sz w:val="14"/>
          <w:szCs w:val="12"/>
        </w:rPr>
      </w:pPr>
      <w:r w:rsidRPr="00F16C12">
        <w:rPr>
          <w:rFonts w:ascii="Times New Roman" w:hAnsi="Times New Roman" w:cs="Times New Roman"/>
        </w:rPr>
        <w:t xml:space="preserve">Ali Reza Soltanian, </w:t>
      </w:r>
      <w:r w:rsidR="00D405BA" w:rsidRPr="00F16C12">
        <w:rPr>
          <w:rFonts w:ascii="Times New Roman" w:hAnsi="Times New Roman" w:cs="Times New Roman"/>
        </w:rPr>
        <w:t xml:space="preserve">PhD, </w:t>
      </w:r>
      <w:r w:rsidRPr="00F16C12">
        <w:rPr>
          <w:rFonts w:ascii="Times New Roman" w:hAnsi="Times New Roman" w:cs="Times New Roman"/>
        </w:rPr>
        <w:t>Modeling of Noncommunicable Disease Research Center, School of Public Heath, Hamadan University of Medical Sciences, Hamadan, Iran.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16C12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405BA" w:rsidRPr="00F16C12" w:rsidRDefault="00F16C12" w:rsidP="00F16C12">
      <w:pPr>
        <w:pStyle w:val="EndNoteBibliography"/>
        <w:bidi w:val="0"/>
        <w:spacing w:after="0" w:line="276" w:lineRule="auto"/>
        <w:jc w:val="both"/>
        <w:rPr>
          <w:rFonts w:asciiTheme="minorHAnsi" w:eastAsia="Times New Roman" w:hAnsiTheme="minorHAnsi" w:cs="Times New Roman"/>
          <w:sz w:val="20"/>
        </w:rPr>
      </w:pPr>
      <w:r w:rsidRPr="00F16C12">
        <w:rPr>
          <w:rFonts w:asciiTheme="minorHAnsi" w:hAnsiTheme="minorHAnsi"/>
          <w:sz w:val="20"/>
          <w:szCs w:val="18"/>
        </w:rPr>
        <w:t>Statement of the Problem:</w:t>
      </w:r>
      <w:r w:rsidRPr="00F16C12">
        <w:rPr>
          <w:rFonts w:asciiTheme="minorHAnsi" w:hAnsiTheme="minorHAnsi"/>
          <w:sz w:val="20"/>
          <w:szCs w:val="18"/>
          <w:lang w:val="en-US"/>
        </w:rPr>
        <w:t xml:space="preserve"> </w:t>
      </w:r>
      <w:r w:rsidR="00D405BA" w:rsidRPr="00F16C12">
        <w:rPr>
          <w:rFonts w:asciiTheme="minorHAnsi" w:hAnsiTheme="minorHAnsi" w:cs="Levenim MT"/>
          <w:color w:val="000000"/>
          <w:sz w:val="20"/>
        </w:rPr>
        <w:t xml:space="preserve">This study aimed to </w:t>
      </w:r>
      <w:r w:rsidR="00D405BA" w:rsidRPr="00F16C12">
        <w:rPr>
          <w:rFonts w:asciiTheme="minorHAnsi" w:hAnsiTheme="minorHAnsi" w:cs="Levenim MT"/>
          <w:sz w:val="20"/>
        </w:rPr>
        <w:t>inv</w:t>
      </w:r>
      <w:bookmarkStart w:id="0" w:name="_GoBack"/>
      <w:bookmarkEnd w:id="0"/>
      <w:r w:rsidR="00D405BA" w:rsidRPr="00F16C12">
        <w:rPr>
          <w:rFonts w:asciiTheme="minorHAnsi" w:hAnsiTheme="minorHAnsi" w:cs="Levenim MT"/>
          <w:sz w:val="20"/>
        </w:rPr>
        <w:t xml:space="preserve">estigate the effect of Pender's Health Promotion Model (HPM) to improve the nutritional behavior of overweight and obese women in Hamadan, Iran in </w:t>
      </w:r>
      <w:r w:rsidR="00D405BA" w:rsidRPr="00F16C12">
        <w:rPr>
          <w:rFonts w:asciiTheme="minorHAnsi" w:hAnsiTheme="minorHAnsi" w:cs="Calibri"/>
          <w:sz w:val="20"/>
          <w:rtl/>
        </w:rPr>
        <w:t>201</w:t>
      </w:r>
      <w:r w:rsidR="00D405BA" w:rsidRPr="00F16C12">
        <w:rPr>
          <w:rFonts w:asciiTheme="minorHAnsi" w:hAnsiTheme="minorHAnsi" w:cs="Calibri"/>
          <w:sz w:val="20"/>
        </w:rPr>
        <w:t xml:space="preserve">5. </w:t>
      </w:r>
      <w:r w:rsidR="00D405BA" w:rsidRPr="00F16C12">
        <w:rPr>
          <w:rFonts w:asciiTheme="minorHAnsi" w:hAnsiTheme="minorHAnsi" w:cs="Levenim MT"/>
          <w:sz w:val="20"/>
        </w:rPr>
        <w:t>Methods</w:t>
      </w:r>
      <w:r w:rsidR="00D405BA" w:rsidRPr="00F16C12">
        <w:rPr>
          <w:rFonts w:asciiTheme="minorHAnsi" w:hAnsiTheme="minorHAnsi" w:cs="Levenim MT"/>
          <w:color w:val="000000"/>
          <w:sz w:val="20"/>
        </w:rPr>
        <w:t>:</w:t>
      </w:r>
      <w:r w:rsidR="00D405BA" w:rsidRPr="00F16C12">
        <w:rPr>
          <w:rFonts w:asciiTheme="minorHAnsi" w:hAnsiTheme="minorHAnsi" w:cs="Levenim MT"/>
          <w:color w:val="000000"/>
          <w:sz w:val="20"/>
          <w:rtl/>
        </w:rPr>
        <w:t xml:space="preserve"> </w:t>
      </w:r>
      <w:r w:rsidR="00D405BA" w:rsidRPr="00F16C12">
        <w:rPr>
          <w:rFonts w:asciiTheme="minorHAnsi" w:hAnsiTheme="minorHAnsi" w:cs="Levenim MT"/>
          <w:color w:val="000000"/>
          <w:sz w:val="20"/>
          <w:lang w:val="en-US"/>
        </w:rPr>
        <w:t>In</w:t>
      </w:r>
      <w:r w:rsidR="00D405BA" w:rsidRPr="00F16C12">
        <w:rPr>
          <w:rFonts w:asciiTheme="minorHAnsi" w:hAnsiTheme="minorHAnsi" w:cs="Levenim MT"/>
          <w:sz w:val="20"/>
        </w:rPr>
        <w:t xml:space="preserve"> this quasi-experimental study, 108 eligible women were selected and randomly assigned to two groups. Data were gathered using three questionnaires.</w:t>
      </w:r>
      <w:r w:rsidR="00D405BA" w:rsidRPr="00F16C12">
        <w:rPr>
          <w:rFonts w:asciiTheme="minorHAnsi" w:hAnsiTheme="minorHAnsi" w:cs="Levenim MT"/>
          <w:sz w:val="20"/>
          <w:lang w:val="en-US"/>
        </w:rPr>
        <w:t xml:space="preserve"> </w:t>
      </w:r>
      <w:r w:rsidR="00D405BA" w:rsidRPr="00F16C12">
        <w:rPr>
          <w:rFonts w:asciiTheme="minorHAnsi" w:hAnsiTheme="minorHAnsi" w:cs="Levenim MT"/>
          <w:sz w:val="20"/>
        </w:rPr>
        <w:t xml:space="preserve">A Pender's HPM-based intervention was conducted </w:t>
      </w:r>
      <w:r w:rsidR="00D405BA" w:rsidRPr="00F16C12">
        <w:rPr>
          <w:rFonts w:asciiTheme="minorHAnsi" w:hAnsiTheme="minorHAnsi" w:cs="Levenim MT"/>
          <w:sz w:val="20"/>
          <w:lang w:val="en-US"/>
        </w:rPr>
        <w:t>for</w:t>
      </w:r>
      <w:r w:rsidR="00D405BA" w:rsidRPr="00F16C12">
        <w:rPr>
          <w:rFonts w:asciiTheme="minorHAnsi" w:hAnsiTheme="minorHAnsi" w:cs="Levenim MT"/>
          <w:sz w:val="20"/>
        </w:rPr>
        <w:t xml:space="preserve"> the experimental group</w:t>
      </w:r>
      <w:r w:rsidR="00D405BA" w:rsidRPr="00F16C12">
        <w:rPr>
          <w:rFonts w:asciiTheme="minorHAnsi" w:hAnsiTheme="minorHAnsi" w:cs="Levenim MT"/>
          <w:sz w:val="20"/>
          <w:rtl/>
        </w:rPr>
        <w:t>.</w:t>
      </w:r>
      <w:r w:rsidR="00D405BA" w:rsidRPr="00F16C12">
        <w:rPr>
          <w:rFonts w:asciiTheme="minorHAnsi" w:hAnsiTheme="minorHAnsi" w:cs="Levenim MT"/>
          <w:sz w:val="20"/>
          <w:lang w:val="en-US"/>
        </w:rPr>
        <w:t xml:space="preserve"> </w:t>
      </w:r>
      <w:r w:rsidR="00D405BA" w:rsidRPr="00F16C12">
        <w:rPr>
          <w:rFonts w:asciiTheme="minorHAnsi" w:hAnsiTheme="minorHAnsi" w:cs="Levenim MT"/>
          <w:sz w:val="20"/>
        </w:rPr>
        <w:t xml:space="preserve">The data were analyzed by paired and independent t-tests, ANCOVA, and Spearmans' correlation coefficient. </w:t>
      </w:r>
    </w:p>
    <w:p w:rsidR="00D405BA" w:rsidRPr="00F16C12" w:rsidRDefault="00D405BA" w:rsidP="00D405BA">
      <w:pPr>
        <w:pStyle w:val="EndNoteBibliography"/>
        <w:bidi w:val="0"/>
        <w:spacing w:after="0" w:line="276" w:lineRule="auto"/>
        <w:jc w:val="both"/>
        <w:rPr>
          <w:rFonts w:asciiTheme="minorHAnsi" w:hAnsiTheme="minorHAnsi" w:cs="Levenim MT"/>
          <w:sz w:val="20"/>
        </w:rPr>
      </w:pPr>
      <w:r w:rsidRPr="00F16C12">
        <w:rPr>
          <w:rFonts w:asciiTheme="minorHAnsi" w:hAnsiTheme="minorHAnsi" w:cs="Levenim MT"/>
          <w:sz w:val="20"/>
        </w:rPr>
        <w:t xml:space="preserve">Results: The mean scores of nutritional behavior, perceived benefits, perceived self-efficacy, commitment to action, interpersonal and situational influences, </w:t>
      </w:r>
      <w:r w:rsidRPr="00F16C12">
        <w:rPr>
          <w:rFonts w:asciiTheme="minorHAnsi" w:hAnsiTheme="minorHAnsi" w:cs="Levenim MT"/>
          <w:color w:val="000000"/>
          <w:sz w:val="20"/>
        </w:rPr>
        <w:t>behavior</w:t>
      </w:r>
      <w:r w:rsidRPr="00F16C12">
        <w:rPr>
          <w:rFonts w:asciiTheme="minorHAnsi" w:hAnsiTheme="minorHAnsi" w:cs="Levenim MT"/>
          <w:color w:val="000000"/>
          <w:sz w:val="20"/>
          <w:lang w:val="en-US"/>
        </w:rPr>
        <w:t>-related affect</w:t>
      </w:r>
      <w:r w:rsidRPr="00F16C12">
        <w:rPr>
          <w:rFonts w:asciiTheme="minorHAnsi" w:hAnsiTheme="minorHAnsi" w:cs="Levenim MT"/>
          <w:color w:val="000000"/>
          <w:sz w:val="20"/>
        </w:rPr>
        <w:t>,</w:t>
      </w:r>
      <w:r w:rsidRPr="00F16C12">
        <w:rPr>
          <w:rFonts w:asciiTheme="minorHAnsi" w:hAnsiTheme="minorHAnsi" w:cs="Levenim MT"/>
          <w:sz w:val="20"/>
        </w:rPr>
        <w:t xml:space="preserve"> and perceived barriers</w:t>
      </w:r>
      <w:r w:rsidRPr="00F16C12">
        <w:rPr>
          <w:rFonts w:asciiTheme="minorHAnsi" w:hAnsiTheme="minorHAnsi"/>
          <w:sz w:val="18"/>
          <w:szCs w:val="16"/>
        </w:rPr>
        <w:t xml:space="preserve"> </w:t>
      </w:r>
      <w:r w:rsidRPr="00F16C12">
        <w:rPr>
          <w:rFonts w:asciiTheme="minorHAnsi" w:hAnsiTheme="minorHAnsi" w:cs="Levenim MT"/>
          <w:sz w:val="20"/>
        </w:rPr>
        <w:t xml:space="preserve">were significantly </w:t>
      </w:r>
      <w:r w:rsidRPr="00F16C12">
        <w:rPr>
          <w:rFonts w:asciiTheme="minorHAnsi" w:hAnsiTheme="minorHAnsi" w:cs="Levenim MT"/>
          <w:sz w:val="20"/>
          <w:lang w:val="en-US"/>
        </w:rPr>
        <w:t>improved</w:t>
      </w:r>
      <w:r w:rsidRPr="00F16C12">
        <w:rPr>
          <w:rFonts w:asciiTheme="minorHAnsi" w:hAnsiTheme="minorHAnsi" w:cs="Levenim MT"/>
          <w:sz w:val="20"/>
        </w:rPr>
        <w:t xml:space="preserve"> after the intervention in the experimental group  (</w:t>
      </w:r>
      <w:r w:rsidRPr="00F16C12">
        <w:rPr>
          <w:rFonts w:asciiTheme="minorHAnsi" w:hAnsiTheme="minorHAnsi" w:cs="Levenim MT"/>
          <w:i/>
          <w:sz w:val="20"/>
        </w:rPr>
        <w:t>P</w:t>
      </w:r>
      <w:r w:rsidRPr="00F16C12">
        <w:rPr>
          <w:rFonts w:asciiTheme="minorHAnsi" w:hAnsiTheme="minorHAnsi" w:cs="Levenim MT"/>
          <w:sz w:val="20"/>
        </w:rPr>
        <w:t xml:space="preserve">&lt;0.001). </w:t>
      </w:r>
    </w:p>
    <w:p w:rsidR="00D405BA" w:rsidRPr="00F16C12" w:rsidRDefault="00D405BA" w:rsidP="00D405BA">
      <w:pPr>
        <w:pStyle w:val="EndNoteBibliography"/>
        <w:bidi w:val="0"/>
        <w:spacing w:after="0" w:line="276" w:lineRule="auto"/>
        <w:jc w:val="both"/>
        <w:rPr>
          <w:rFonts w:asciiTheme="minorHAnsi" w:hAnsiTheme="minorHAnsi" w:cs="Levenim MT"/>
          <w:szCs w:val="22"/>
          <w:rtl/>
        </w:rPr>
      </w:pPr>
      <w:r w:rsidRPr="00F16C12">
        <w:rPr>
          <w:rFonts w:asciiTheme="minorHAnsi" w:hAnsiTheme="minorHAnsi" w:cs="Levenim MT"/>
          <w:sz w:val="20"/>
        </w:rPr>
        <w:t>Conclusion: Pender’s HPM-based training improved nutritional behavior and some constructs of the model. Pender’s HPM-based training can be used by healthcare providers to improve the nutritional and other health promoting behaviors.</w:t>
      </w:r>
    </w:p>
    <w:p w:rsidR="005973B9" w:rsidRDefault="00A9710C" w:rsidP="007B48BF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  <w:t xml:space="preserve">Recent Publications </w:t>
      </w:r>
    </w:p>
    <w:p w:rsidR="00F16C12" w:rsidRPr="00F16C12" w:rsidRDefault="00F16C12" w:rsidP="00F16C12">
      <w:pPr>
        <w:tabs>
          <w:tab w:val="left" w:pos="270"/>
        </w:tabs>
        <w:autoSpaceDE w:val="0"/>
        <w:autoSpaceDN w:val="0"/>
        <w:adjustRightInd w:val="0"/>
        <w:jc w:val="both"/>
        <w:rPr>
          <w:rFonts w:asciiTheme="minorHAnsi" w:hAnsiTheme="minorHAnsi" w:cs="Times New Roman"/>
          <w:noProof/>
          <w:sz w:val="20"/>
          <w:szCs w:val="20"/>
          <w:rtl/>
        </w:rPr>
      </w:pPr>
      <w:bookmarkStart w:id="1" w:name="_ENREF_1"/>
      <w:r w:rsidRPr="00F16C12">
        <w:rPr>
          <w:rFonts w:asciiTheme="minorHAnsi" w:hAnsiTheme="minorHAnsi" w:cs="Times New Roman"/>
          <w:noProof/>
          <w:sz w:val="20"/>
          <w:szCs w:val="20"/>
        </w:rPr>
        <w:t>1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ab/>
      </w:r>
      <w:r w:rsidRPr="00F16C12">
        <w:rPr>
          <w:rFonts w:asciiTheme="minorHAnsi" w:hAnsiTheme="minorHAnsi" w:cs="Times New Roman"/>
          <w:noProof/>
          <w:sz w:val="20"/>
          <w:szCs w:val="20"/>
        </w:rPr>
        <w:t>Khodaveisi M, Omidi A, Farokhi Sh, Soltanian AR. Dietary Behavior Status and its Predictors Based on the Pender`s Health Promotion Model Constructs Among Overweight Women referred to Fatemieh Hospital Clinics in Hamedan, 2014. Journal of Nursing Education. 20</w:t>
      </w:r>
      <w:bookmarkEnd w:id="1"/>
      <w:r w:rsidRPr="00F16C12">
        <w:rPr>
          <w:rFonts w:asciiTheme="minorHAnsi" w:hAnsiTheme="minorHAnsi" w:cs="Times New Roman"/>
          <w:noProof/>
          <w:sz w:val="20"/>
          <w:szCs w:val="20"/>
        </w:rPr>
        <w:t>16;5:31-9.</w:t>
      </w:r>
      <w:r w:rsidRPr="00F16C12">
        <w:rPr>
          <w:rFonts w:asciiTheme="minorHAnsi" w:eastAsia="Times New Roman" w:hAnsiTheme="minorHAnsi" w:cs="TimesNewRomanPSMT"/>
          <w:sz w:val="20"/>
          <w:szCs w:val="20"/>
        </w:rPr>
        <w:t xml:space="preserve"> </w:t>
      </w:r>
    </w:p>
    <w:p w:rsidR="00F16C12" w:rsidRPr="00F16C12" w:rsidRDefault="00F16C12" w:rsidP="00F16C12">
      <w:pPr>
        <w:tabs>
          <w:tab w:val="left" w:pos="180"/>
        </w:tabs>
        <w:jc w:val="both"/>
        <w:rPr>
          <w:rFonts w:asciiTheme="minorHAnsi" w:hAnsiTheme="minorHAnsi" w:cs="Times New Roman"/>
          <w:noProof/>
          <w:sz w:val="20"/>
          <w:szCs w:val="20"/>
          <w:rtl/>
        </w:rPr>
      </w:pPr>
      <w:bookmarkStart w:id="2" w:name="_ENREF_2"/>
      <w:r w:rsidRPr="00F16C12">
        <w:rPr>
          <w:rFonts w:asciiTheme="minorHAnsi" w:hAnsiTheme="minorHAnsi" w:cs="Times New Roman"/>
          <w:noProof/>
          <w:sz w:val="20"/>
          <w:szCs w:val="20"/>
        </w:rPr>
        <w:t>2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ab/>
      </w:r>
      <w:r w:rsidRPr="00F16C12">
        <w:rPr>
          <w:rFonts w:asciiTheme="minorHAnsi" w:hAnsiTheme="minorHAnsi" w:cs="Times New Roman"/>
          <w:noProof/>
          <w:sz w:val="20"/>
          <w:szCs w:val="20"/>
        </w:rPr>
        <w:t>La Vecchia C, Giordano SH, Hortobagyi GN, Chabner B. Overweight, obesity, diabetes, and risk of breast cancer: interlocking pieces of the puzzle. Oncologist. 2011;16:726-9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>.</w:t>
      </w:r>
      <w:bookmarkEnd w:id="2"/>
    </w:p>
    <w:p w:rsidR="00F16C12" w:rsidRPr="00F16C12" w:rsidRDefault="00F16C12" w:rsidP="00F16C12">
      <w:pPr>
        <w:tabs>
          <w:tab w:val="left" w:pos="270"/>
        </w:tabs>
        <w:jc w:val="both"/>
        <w:rPr>
          <w:rFonts w:asciiTheme="minorHAnsi" w:hAnsiTheme="minorHAnsi" w:cs="Times New Roman"/>
          <w:noProof/>
          <w:sz w:val="20"/>
          <w:szCs w:val="20"/>
          <w:rtl/>
        </w:rPr>
      </w:pPr>
      <w:bookmarkStart w:id="3" w:name="_ENREF_3"/>
      <w:r w:rsidRPr="00F16C12">
        <w:rPr>
          <w:rFonts w:asciiTheme="minorHAnsi" w:hAnsiTheme="minorHAnsi" w:cs="Times New Roman"/>
          <w:noProof/>
          <w:sz w:val="20"/>
          <w:szCs w:val="20"/>
        </w:rPr>
        <w:t>3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ab/>
      </w:r>
      <w:r w:rsidRPr="00F16C12">
        <w:rPr>
          <w:rFonts w:asciiTheme="minorHAnsi" w:hAnsiTheme="minorHAnsi" w:cs="Times New Roman"/>
          <w:noProof/>
          <w:sz w:val="20"/>
          <w:szCs w:val="20"/>
        </w:rPr>
        <w:t>Kulie T, Slattengren A, Redmer J, et al. Obesity and women's health: an evidence-based review. J Am Board Fam Med. 2011;24:75-85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>.</w:t>
      </w:r>
      <w:bookmarkEnd w:id="3"/>
    </w:p>
    <w:p w:rsidR="00F16C12" w:rsidRPr="00F16C12" w:rsidRDefault="00F16C12" w:rsidP="00F16C12">
      <w:pPr>
        <w:tabs>
          <w:tab w:val="left" w:pos="270"/>
        </w:tabs>
        <w:jc w:val="both"/>
        <w:rPr>
          <w:rFonts w:asciiTheme="minorHAnsi" w:hAnsiTheme="minorHAnsi" w:cs="Times New Roman"/>
          <w:noProof/>
          <w:sz w:val="20"/>
          <w:szCs w:val="20"/>
        </w:rPr>
      </w:pPr>
      <w:bookmarkStart w:id="4" w:name="_ENREF_4"/>
      <w:r w:rsidRPr="00F16C12">
        <w:rPr>
          <w:rFonts w:asciiTheme="minorHAnsi" w:hAnsiTheme="minorHAnsi" w:cs="Times New Roman"/>
          <w:noProof/>
          <w:sz w:val="20"/>
          <w:szCs w:val="20"/>
        </w:rPr>
        <w:t>4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ab/>
      </w:r>
      <w:r w:rsidRPr="00F16C12">
        <w:rPr>
          <w:rFonts w:asciiTheme="minorHAnsi" w:hAnsiTheme="minorHAnsi" w:cs="Times New Roman"/>
          <w:noProof/>
          <w:sz w:val="20"/>
          <w:szCs w:val="20"/>
        </w:rPr>
        <w:t>Koniak-Griffin D, Brecht M, Takayanagi S, et al. A community health worker-led lifestyle behavior intervention for Latina (Hispanic) women: Feasibility and outcomes of a randomized controlled trial. International Journal of Nursing Studies. 2015;52:75-87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>.</w:t>
      </w:r>
      <w:bookmarkStart w:id="5" w:name="_ENREF_5"/>
      <w:bookmarkEnd w:id="4"/>
    </w:p>
    <w:p w:rsidR="00F16C12" w:rsidRPr="00F16C12" w:rsidRDefault="00F16C12" w:rsidP="00F16C12">
      <w:pPr>
        <w:tabs>
          <w:tab w:val="left" w:pos="270"/>
        </w:tabs>
        <w:jc w:val="both"/>
        <w:rPr>
          <w:rFonts w:asciiTheme="minorHAnsi" w:hAnsiTheme="minorHAnsi" w:cs="Times New Roman"/>
          <w:noProof/>
          <w:sz w:val="20"/>
          <w:szCs w:val="20"/>
          <w:rtl/>
        </w:rPr>
      </w:pPr>
      <w:r w:rsidRPr="00F16C12">
        <w:rPr>
          <w:rFonts w:asciiTheme="minorHAnsi" w:hAnsiTheme="minorHAnsi" w:cs="Times New Roman"/>
          <w:noProof/>
          <w:sz w:val="20"/>
          <w:szCs w:val="20"/>
        </w:rPr>
        <w:t>5</w:t>
      </w:r>
      <w:r w:rsidRPr="00F16C12">
        <w:rPr>
          <w:rFonts w:asciiTheme="minorHAnsi" w:hAnsiTheme="minorHAnsi" w:cs="Times New Roman"/>
          <w:noProof/>
          <w:sz w:val="20"/>
          <w:szCs w:val="20"/>
          <w:rtl/>
        </w:rPr>
        <w:tab/>
      </w:r>
      <w:r w:rsidRPr="00F16C12">
        <w:rPr>
          <w:rFonts w:asciiTheme="minorHAnsi" w:hAnsiTheme="minorHAnsi" w:cs="Times New Roman"/>
          <w:noProof/>
          <w:sz w:val="20"/>
          <w:szCs w:val="20"/>
        </w:rPr>
        <w:t>Atanda-lawal B. Health Promotion for overweight Children between the ages of 7 to 12 [thesis]. Germany: University of Applied Sciences; 201</w:t>
      </w:r>
      <w:bookmarkEnd w:id="5"/>
      <w:r w:rsidRPr="00F16C12">
        <w:rPr>
          <w:rFonts w:asciiTheme="minorHAnsi" w:hAnsiTheme="minorHAnsi" w:cs="Times New Roman"/>
          <w:noProof/>
          <w:sz w:val="20"/>
          <w:szCs w:val="20"/>
        </w:rPr>
        <w:t>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9EB5AFC" wp14:editId="650E544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F16C1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D405BA">
        <w:rPr>
          <w:noProof/>
        </w:rPr>
        <w:drawing>
          <wp:inline distT="0" distB="0" distL="0" distR="0" wp14:anchorId="519BDA18" wp14:editId="630A9AAA">
            <wp:extent cx="819303" cy="826618"/>
            <wp:effectExtent l="0" t="0" r="0" b="0"/>
            <wp:docPr id="2" name="Picture 2" descr="C:\Users\a\Desktop\khodaveisi masou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Desktop\khodaveisi masou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426" cy="82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D405BA" w:rsidRPr="00627777" w:rsidRDefault="00D405BA" w:rsidP="00D405BA">
      <w:pPr>
        <w:rPr>
          <w:rFonts w:eastAsia="MS PGothic"/>
          <w:b/>
          <w:color w:val="000000"/>
          <w:szCs w:val="32"/>
        </w:rPr>
      </w:pPr>
      <w:r w:rsidRPr="00BB63BC">
        <w:t>Masoud Khodaveisi</w:t>
      </w:r>
      <w:r>
        <w:t xml:space="preserve"> has completed his PhD from Shahid Beheshti </w:t>
      </w:r>
      <w:r w:rsidRPr="00BB63BC">
        <w:t xml:space="preserve">University of Medical Sciences, </w:t>
      </w:r>
      <w:r>
        <w:t>Tehran</w:t>
      </w:r>
      <w:r w:rsidRPr="00BB63BC">
        <w:t>, Iran.</w:t>
      </w:r>
      <w:r>
        <w:t xml:space="preserve"> He is the director of </w:t>
      </w:r>
      <w:r w:rsidRPr="00BB63BC">
        <w:t>Chronic Disea</w:t>
      </w:r>
      <w:r>
        <w:t>ses (Home Care) Research Center and he has been serving as a faculty member</w:t>
      </w:r>
      <w:r w:rsidRPr="007A6336">
        <w:t xml:space="preserve"> </w:t>
      </w:r>
      <w:r>
        <w:t xml:space="preserve">in </w:t>
      </w:r>
      <w:r w:rsidRPr="007A6336">
        <w:t>Community Health Nursing Department</w:t>
      </w:r>
      <w:r>
        <w:t xml:space="preserve">, </w:t>
      </w:r>
      <w:r w:rsidRPr="007A6336">
        <w:t>Hamadan University of Medical Sciences, Hamadan, Iran.</w:t>
      </w:r>
      <w:r>
        <w:t xml:space="preserve"> </w:t>
      </w:r>
      <w:r>
        <w:br/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 w:rsidP="00D405B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D405BA" w:rsidRPr="0094696E">
          <w:rPr>
            <w:rStyle w:val="Hyperlink"/>
            <w:rFonts w:ascii="Arial"/>
            <w:sz w:val="14"/>
          </w:rPr>
          <w:t>khodaveisi@umsha.ac.ir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6737DDD" wp14:editId="77B0623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2ED" w:rsidRDefault="008772ED">
      <w:r>
        <w:separator/>
      </w:r>
    </w:p>
  </w:endnote>
  <w:endnote w:type="continuationSeparator" w:id="0">
    <w:p w:rsidR="008772ED" w:rsidRDefault="00877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50305040509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venim MT">
    <w:panose1 w:val="02010502060101010101"/>
    <w:charset w:val="B1"/>
    <w:family w:val="auto"/>
    <w:pitch w:val="variable"/>
    <w:sig w:usb0="00000801" w:usb1="00000000" w:usb2="00000000" w:usb3="00000000" w:csb0="0000002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2ED" w:rsidRDefault="008772ED">
      <w:r>
        <w:separator/>
      </w:r>
    </w:p>
  </w:footnote>
  <w:footnote w:type="continuationSeparator" w:id="0">
    <w:p w:rsidR="008772ED" w:rsidRDefault="00877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83D02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D16E5"/>
    <w:rsid w:val="007B48BF"/>
    <w:rsid w:val="00873DF0"/>
    <w:rsid w:val="008756E6"/>
    <w:rsid w:val="008772ED"/>
    <w:rsid w:val="009B2D44"/>
    <w:rsid w:val="00A07E82"/>
    <w:rsid w:val="00A9710C"/>
    <w:rsid w:val="00AE3E37"/>
    <w:rsid w:val="00B21A57"/>
    <w:rsid w:val="00C33602"/>
    <w:rsid w:val="00CD6F55"/>
    <w:rsid w:val="00D00F59"/>
    <w:rsid w:val="00D405BA"/>
    <w:rsid w:val="00DE3104"/>
    <w:rsid w:val="00F01BB6"/>
    <w:rsid w:val="00F133B2"/>
    <w:rsid w:val="00F16C1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D405BA"/>
    <w:pPr>
      <w:widowControl/>
      <w:bidi/>
      <w:spacing w:after="200"/>
    </w:pPr>
    <w:rPr>
      <w:rFonts w:ascii="Calibri" w:eastAsia="Calibri" w:hAnsi="Calibri" w:cs="Arial"/>
      <w:szCs w:val="20"/>
      <w:lang w:val="x-none" w:eastAsia="x-none" w:bidi="fa-IR"/>
    </w:rPr>
  </w:style>
  <w:style w:type="character" w:customStyle="1" w:styleId="EndNoteBibliographyChar">
    <w:name w:val="EndNote Bibliography Char"/>
    <w:link w:val="EndNoteBibliography"/>
    <w:rsid w:val="00D405BA"/>
    <w:rPr>
      <w:rFonts w:ascii="Calibri" w:eastAsia="Calibri" w:hAnsi="Calibri" w:cs="Arial"/>
      <w:szCs w:val="20"/>
      <w:lang w:val="x-none" w:eastAsia="x-none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D405BA"/>
    <w:pPr>
      <w:widowControl/>
      <w:bidi/>
      <w:spacing w:after="200"/>
    </w:pPr>
    <w:rPr>
      <w:rFonts w:ascii="Calibri" w:eastAsia="Calibri" w:hAnsi="Calibri" w:cs="Arial"/>
      <w:szCs w:val="20"/>
      <w:lang w:val="x-none" w:eastAsia="x-none" w:bidi="fa-IR"/>
    </w:rPr>
  </w:style>
  <w:style w:type="character" w:customStyle="1" w:styleId="EndNoteBibliographyChar">
    <w:name w:val="EndNote Bibliography Char"/>
    <w:link w:val="EndNoteBibliography"/>
    <w:rsid w:val="00D405BA"/>
    <w:rPr>
      <w:rFonts w:ascii="Calibri" w:eastAsia="Calibri" w:hAnsi="Calibri" w:cs="Arial"/>
      <w:szCs w:val="20"/>
      <w:lang w:val="x-none" w:eastAsia="x-none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hodaveisi@umsha.ac.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020F4-6BD0-415F-B9AB-37DC74300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</cp:lastModifiedBy>
  <cp:revision>5</cp:revision>
  <dcterms:created xsi:type="dcterms:W3CDTF">2018-02-27T08:02:00Z</dcterms:created>
  <dcterms:modified xsi:type="dcterms:W3CDTF">2018-02-27T09:14:00Z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