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CAC" w:rsidRPr="00057CAC" w:rsidRDefault="00113F38" w:rsidP="00057CAC">
      <w:pPr>
        <w:rPr>
          <w:rFonts w:ascii="Arial Narrow" w:hAnsi="Arial Narrow"/>
          <w:b/>
          <w:color w:val="000000" w:themeColor="text1"/>
        </w:rPr>
      </w:pPr>
      <w:bookmarkStart w:id="0" w:name="_Hlk525234792"/>
      <w:bookmarkEnd w:id="0"/>
      <w:r w:rsidRPr="00E73FC3">
        <w:rPr>
          <w:rFonts w:ascii="Arial Narrow" w:hAnsi="Arial Narrow"/>
          <w:b/>
          <w:caps/>
          <w:color w:val="000000" w:themeColor="text1"/>
          <w:sz w:val="28"/>
        </w:rPr>
        <w:t>Neutrophil-Lymphocyte index as prognostic factor for OVERALL survival and disease-free SURVIVAL in breast cancer patients</w:t>
      </w:r>
      <w:r>
        <w:rPr>
          <w:rFonts w:ascii="Arial"/>
        </w:rPr>
        <w:t xml:space="preserve"> </w:t>
      </w:r>
      <w:r w:rsidR="00057CAC" w:rsidRPr="00057CAC">
        <w:rPr>
          <w:rFonts w:ascii="Arial Narrow" w:hAnsi="Arial Narrow"/>
          <w:b/>
          <w:color w:val="000000" w:themeColor="text1"/>
        </w:rPr>
        <w:t>Guillermo Peralta Castillo MD</w:t>
      </w:r>
      <w:r w:rsidR="00057CAC" w:rsidRPr="00057CAC">
        <w:rPr>
          <w:rFonts w:ascii="Arial Narrow" w:hAnsi="Arial Narrow"/>
          <w:b/>
          <w:color w:val="000000" w:themeColor="text1"/>
          <w:vertAlign w:val="superscript"/>
        </w:rPr>
        <w:t>1</w:t>
      </w:r>
      <w:r w:rsidR="00057CAC" w:rsidRPr="00057CAC">
        <w:rPr>
          <w:rFonts w:ascii="Arial Narrow" w:hAnsi="Arial Narrow"/>
          <w:b/>
          <w:color w:val="000000" w:themeColor="text1"/>
        </w:rPr>
        <w:t xml:space="preserve">, Antonio </w:t>
      </w:r>
      <w:proofErr w:type="spellStart"/>
      <w:r w:rsidR="00057CAC" w:rsidRPr="00057CAC">
        <w:rPr>
          <w:rFonts w:ascii="Arial Narrow" w:hAnsi="Arial Narrow"/>
          <w:b/>
          <w:color w:val="000000" w:themeColor="text1"/>
        </w:rPr>
        <w:t>Maffuz</w:t>
      </w:r>
      <w:proofErr w:type="spellEnd"/>
      <w:r w:rsidR="00057CAC" w:rsidRPr="00057CAC">
        <w:rPr>
          <w:rFonts w:ascii="Arial Narrow" w:hAnsi="Arial Narrow"/>
          <w:b/>
          <w:color w:val="000000" w:themeColor="text1"/>
        </w:rPr>
        <w:t xml:space="preserve"> Aziz MD</w:t>
      </w:r>
      <w:r w:rsidR="00057CAC" w:rsidRPr="00057CAC">
        <w:rPr>
          <w:rFonts w:ascii="Arial Narrow" w:hAnsi="Arial Narrow"/>
          <w:b/>
          <w:color w:val="000000" w:themeColor="text1"/>
          <w:vertAlign w:val="superscript"/>
        </w:rPr>
        <w:t>1</w:t>
      </w:r>
      <w:r w:rsidR="00057CAC" w:rsidRPr="00057CAC">
        <w:rPr>
          <w:rFonts w:ascii="Arial Narrow" w:hAnsi="Arial Narrow"/>
          <w:b/>
          <w:color w:val="000000" w:themeColor="text1"/>
        </w:rPr>
        <w:t>, S</w:t>
      </w:r>
      <w:r w:rsidR="00057CAC">
        <w:rPr>
          <w:rFonts w:ascii="Arial Narrow" w:hAnsi="Arial Narrow"/>
          <w:b/>
          <w:color w:val="000000" w:themeColor="text1"/>
        </w:rPr>
        <w:t>ergio</w:t>
      </w:r>
      <w:r w:rsidR="00057CAC" w:rsidRPr="00057CAC">
        <w:rPr>
          <w:rFonts w:ascii="Arial Narrow" w:hAnsi="Arial Narrow"/>
          <w:b/>
          <w:color w:val="000000" w:themeColor="text1"/>
        </w:rPr>
        <w:t xml:space="preserve"> Rodríguez Cuevas MD</w:t>
      </w:r>
      <w:r w:rsidR="00057CAC" w:rsidRPr="00057CAC">
        <w:rPr>
          <w:rFonts w:ascii="Arial Narrow" w:hAnsi="Arial Narrow"/>
          <w:b/>
          <w:color w:val="000000" w:themeColor="text1"/>
          <w:vertAlign w:val="superscript"/>
        </w:rPr>
        <w:t>1</w:t>
      </w:r>
      <w:r w:rsidR="00057CAC">
        <w:rPr>
          <w:rFonts w:ascii="Arial Narrow" w:hAnsi="Arial Narrow"/>
          <w:b/>
          <w:color w:val="000000" w:themeColor="text1"/>
        </w:rPr>
        <w:t xml:space="preserve"> </w:t>
      </w:r>
      <w:r w:rsidR="00057CAC" w:rsidRPr="001314DD">
        <w:rPr>
          <w:rFonts w:ascii="Trebuchet MS" w:hAnsi="Trebuchet MS"/>
          <w:color w:val="000000"/>
          <w:sz w:val="21"/>
          <w:szCs w:val="21"/>
          <w:shd w:val="clear" w:color="auto" w:fill="FFFFFF"/>
        </w:rPr>
        <w:t xml:space="preserve">1. Department of Breast Surgical Oncology, Institute of Breast Diseases, FUCAM AC Mexico City. </w:t>
      </w:r>
    </w:p>
    <w:p w:rsidR="00AE3E37" w:rsidRDefault="00AE3E37" w:rsidP="00057CAC">
      <w:pPr>
        <w:pStyle w:val="Textoindependiente"/>
        <w:spacing w:before="73"/>
        <w:ind w:left="102" w:right="482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057CAC">
          <w:headerReference w:type="default" r:id="rId7"/>
          <w:footerReference w:type="default" r:id="rId8"/>
          <w:type w:val="continuous"/>
          <w:pgSz w:w="11910" w:h="16840"/>
          <w:pgMar w:top="1134" w:right="600" w:bottom="840" w:left="620" w:header="541" w:footer="642" w:gutter="0"/>
          <w:cols w:space="720"/>
        </w:sectPr>
      </w:pPr>
    </w:p>
    <w:p w:rsidR="00057CAC" w:rsidRPr="00057CAC" w:rsidRDefault="00057CAC" w:rsidP="00057CAC">
      <w:pPr>
        <w:spacing w:line="360" w:lineRule="auto"/>
        <w:rPr>
          <w:color w:val="000000" w:themeColor="text1"/>
          <w:sz w:val="20"/>
          <w:szCs w:val="18"/>
        </w:rPr>
      </w:pPr>
      <w:r w:rsidRPr="00057CAC">
        <w:rPr>
          <w:color w:val="000000" w:themeColor="text1"/>
          <w:sz w:val="20"/>
          <w:szCs w:val="18"/>
        </w:rPr>
        <w:t>ABSTRACT</w:t>
      </w:r>
    </w:p>
    <w:p w:rsidR="00057CAC" w:rsidRDefault="00057CAC" w:rsidP="00057CAC">
      <w:pPr>
        <w:jc w:val="both"/>
        <w:rPr>
          <w:color w:val="000000" w:themeColor="text1"/>
          <w:sz w:val="20"/>
          <w:szCs w:val="18"/>
        </w:rPr>
      </w:pPr>
      <w:r w:rsidRPr="00057CAC">
        <w:rPr>
          <w:color w:val="000000" w:themeColor="text1"/>
          <w:sz w:val="20"/>
          <w:szCs w:val="18"/>
        </w:rPr>
        <w:t>Background: Since 2006 breast cancer has been the leading cause of death by cancer in Mexican women. Recently several studies have shown the relationship of neutrophil-lymphocyte index (NLI) and breast cancer as a predictor of overall survival (OS) and disease-free survival (DFS)</w:t>
      </w:r>
      <w:r w:rsidRPr="00057CAC">
        <w:rPr>
          <w:color w:val="000000" w:themeColor="text1"/>
          <w:sz w:val="20"/>
          <w:szCs w:val="18"/>
        </w:rPr>
        <w:t xml:space="preserve">. </w:t>
      </w:r>
      <w:r w:rsidRPr="00057CAC">
        <w:rPr>
          <w:color w:val="000000" w:themeColor="text1"/>
          <w:sz w:val="20"/>
          <w:szCs w:val="18"/>
        </w:rPr>
        <w:t xml:space="preserve">Methods:2711 patients of the Institute of Breast Diseases (FUCAM) from April 2006 to March 2011 were studied. The NLI and its </w:t>
      </w:r>
      <w:proofErr w:type="gramStart"/>
      <w:r w:rsidRPr="00057CAC">
        <w:rPr>
          <w:color w:val="000000" w:themeColor="text1"/>
          <w:sz w:val="20"/>
          <w:szCs w:val="18"/>
        </w:rPr>
        <w:t>relation</w:t>
      </w:r>
      <w:proofErr w:type="gramEnd"/>
      <w:r w:rsidRPr="00057CAC">
        <w:rPr>
          <w:color w:val="000000" w:themeColor="text1"/>
          <w:sz w:val="20"/>
          <w:szCs w:val="18"/>
        </w:rPr>
        <w:t xml:space="preserve"> with OS and DFS were evaluated. A receiver operating characteristic curve was used to obtain the cut-off point of greater sensitivity and specificity for the NLI. A multivariate analysis was used to analyze the clinical parameters of prognostic factor.</w:t>
      </w:r>
    </w:p>
    <w:p w:rsidR="00057CAC" w:rsidRPr="00057CAC" w:rsidRDefault="00057CAC" w:rsidP="00057CAC">
      <w:pPr>
        <w:jc w:val="both"/>
        <w:rPr>
          <w:color w:val="000000" w:themeColor="text1"/>
          <w:sz w:val="20"/>
          <w:szCs w:val="18"/>
        </w:rPr>
      </w:pPr>
      <w:r w:rsidRPr="00057CAC">
        <w:rPr>
          <w:color w:val="000000" w:themeColor="text1"/>
          <w:sz w:val="20"/>
          <w:szCs w:val="18"/>
        </w:rPr>
        <w:t xml:space="preserve"> </w:t>
      </w:r>
      <w:r w:rsidRPr="00057CAC">
        <w:rPr>
          <w:color w:val="000000" w:themeColor="text1"/>
          <w:sz w:val="20"/>
          <w:szCs w:val="18"/>
        </w:rPr>
        <w:t xml:space="preserve">Results: 342 patients were included for the analysis. The follow-up time average of 80.1 months and the mean of NLI was 2.1. In this model, sensitivity was 66.7% (95% CI: 46-64) p = 0.04. The Kaplan - Meier analysis was applied to evaluate OS and the DFS of all patients according to the NLI, comparing two groups: ≤2.1 and ≥ 2.1. No differences were reported between these groups. In triple negative patients (n=32), patients with NLI &gt;2.1 had a shorter DFS in comparison to patients with NLI &lt; 2.1 (20 vs 55.6% in 5 years, p=0.04). The univariate Cox risk model revealed that </w:t>
      </w:r>
      <w:proofErr w:type="gramStart"/>
      <w:r w:rsidRPr="00057CAC">
        <w:rPr>
          <w:color w:val="000000" w:themeColor="text1"/>
          <w:sz w:val="20"/>
          <w:szCs w:val="18"/>
        </w:rPr>
        <w:t>a</w:t>
      </w:r>
      <w:proofErr w:type="gramEnd"/>
      <w:r w:rsidRPr="00057CAC">
        <w:rPr>
          <w:color w:val="000000" w:themeColor="text1"/>
          <w:sz w:val="20"/>
          <w:szCs w:val="18"/>
        </w:rPr>
        <w:t xml:space="preserve"> NLI &gt; 2.1 pretreatment, lymph node stage and Ki-67 were correlated independently with the DFS.</w:t>
      </w:r>
    </w:p>
    <w:p w:rsidR="00057CAC" w:rsidRPr="00057CAC" w:rsidRDefault="00057CAC" w:rsidP="00057CAC">
      <w:pPr>
        <w:jc w:val="both"/>
        <w:rPr>
          <w:color w:val="000000" w:themeColor="text1"/>
          <w:sz w:val="18"/>
          <w:szCs w:val="18"/>
        </w:rPr>
      </w:pPr>
      <w:r w:rsidRPr="00057CAC">
        <w:rPr>
          <w:color w:val="000000" w:themeColor="text1"/>
          <w:sz w:val="20"/>
          <w:szCs w:val="18"/>
        </w:rPr>
        <w:t>Conclusions: Our study suggests that there is a relationship between the NLI and the breast cancer DFS; especially in triple negative subtypes</w:t>
      </w:r>
      <w:r w:rsidRPr="00057CAC">
        <w:rPr>
          <w:color w:val="000000" w:themeColor="text1"/>
          <w:sz w:val="18"/>
          <w:szCs w:val="18"/>
        </w:rPr>
        <w:t>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 w:rsidRPr="00057CAC">
        <w:rPr>
          <w:color w:val="000000" w:themeColor="text1"/>
        </w:rPr>
        <w:t>Image</w:t>
      </w:r>
    </w:p>
    <w:p w:rsidR="00AE3E37" w:rsidRDefault="00AE3E37">
      <w:pPr>
        <w:pStyle w:val="Textoindependiente"/>
        <w:spacing w:before="2"/>
        <w:rPr>
          <w:rFonts w:ascii="Arial"/>
          <w:b/>
          <w:sz w:val="16"/>
        </w:rPr>
      </w:pPr>
    </w:p>
    <w:tbl>
      <w:tblPr>
        <w:tblStyle w:val="Tablaconcuadrcula"/>
        <w:tblW w:w="535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560"/>
        <w:gridCol w:w="850"/>
      </w:tblGrid>
      <w:tr w:rsidR="00057CAC" w:rsidRPr="00057CAC" w:rsidTr="00057CAC">
        <w:tc>
          <w:tcPr>
            <w:tcW w:w="1951" w:type="dxa"/>
            <w:vMerge w:val="restart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Variables</w:t>
            </w:r>
          </w:p>
        </w:tc>
        <w:tc>
          <w:tcPr>
            <w:tcW w:w="992" w:type="dxa"/>
            <w:vMerge w:val="restart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Univariate analysis</w:t>
            </w:r>
          </w:p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p value</w:t>
            </w:r>
          </w:p>
        </w:tc>
        <w:tc>
          <w:tcPr>
            <w:tcW w:w="2410" w:type="dxa"/>
            <w:gridSpan w:val="2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Multivariate analysis</w:t>
            </w:r>
          </w:p>
        </w:tc>
      </w:tr>
      <w:tr w:rsidR="00057CAC" w:rsidRPr="00057CAC" w:rsidTr="00057CAC">
        <w:tc>
          <w:tcPr>
            <w:tcW w:w="1951" w:type="dxa"/>
            <w:vMerge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</w:p>
        </w:tc>
        <w:tc>
          <w:tcPr>
            <w:tcW w:w="992" w:type="dxa"/>
            <w:vMerge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RR, CI 95%</w:t>
            </w:r>
          </w:p>
        </w:tc>
        <w:tc>
          <w:tcPr>
            <w:tcW w:w="85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p value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proofErr w:type="gramStart"/>
            <w:r w:rsidRPr="00057CAC">
              <w:rPr>
                <w:sz w:val="18"/>
                <w:lang w:val="en-US"/>
              </w:rPr>
              <w:t>Age  (</w:t>
            </w:r>
            <w:proofErr w:type="gramEnd"/>
            <w:r w:rsidRPr="00057CAC">
              <w:rPr>
                <w:sz w:val="18"/>
                <w:lang w:val="en-US"/>
              </w:rPr>
              <w:t>&lt;50 vs &gt;50 years)</w:t>
            </w:r>
          </w:p>
        </w:tc>
        <w:tc>
          <w:tcPr>
            <w:tcW w:w="992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0.64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1.02 (0.34- 2.94)</w:t>
            </w:r>
          </w:p>
        </w:tc>
        <w:tc>
          <w:tcPr>
            <w:tcW w:w="85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0.99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Tumor size (pT1 vs PT2-T3)</w:t>
            </w:r>
          </w:p>
        </w:tc>
        <w:tc>
          <w:tcPr>
            <w:tcW w:w="992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0.43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1.04 (0.87- 1.25)</w:t>
            </w:r>
          </w:p>
        </w:tc>
        <w:tc>
          <w:tcPr>
            <w:tcW w:w="85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0.61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 xml:space="preserve">Lymph Node stage (pN0 vs </w:t>
            </w:r>
            <w:proofErr w:type="spellStart"/>
            <w:r w:rsidRPr="00057CAC">
              <w:rPr>
                <w:sz w:val="18"/>
                <w:lang w:val="en-US"/>
              </w:rPr>
              <w:t>pN</w:t>
            </w:r>
            <w:proofErr w:type="spellEnd"/>
            <w:r w:rsidRPr="00057CAC">
              <w:rPr>
                <w:sz w:val="18"/>
                <w:lang w:val="en-US"/>
              </w:rPr>
              <w:t>+)</w:t>
            </w:r>
          </w:p>
        </w:tc>
        <w:tc>
          <w:tcPr>
            <w:tcW w:w="992" w:type="dxa"/>
            <w:shd w:val="clear" w:color="auto" w:fill="FFFFFF" w:themeFill="background1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0.56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1.03 (0.90- 1.18)</w:t>
            </w:r>
          </w:p>
        </w:tc>
        <w:tc>
          <w:tcPr>
            <w:tcW w:w="85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0.61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Stage</w:t>
            </w:r>
          </w:p>
        </w:tc>
        <w:tc>
          <w:tcPr>
            <w:tcW w:w="992" w:type="dxa"/>
            <w:shd w:val="clear" w:color="auto" w:fill="B2A1C7" w:themeFill="accent4" w:themeFillTint="99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0.005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1.85 (1.10- 3.09)</w:t>
            </w:r>
          </w:p>
        </w:tc>
        <w:tc>
          <w:tcPr>
            <w:tcW w:w="850" w:type="dxa"/>
            <w:shd w:val="clear" w:color="auto" w:fill="B2A1C7" w:themeFill="accent4" w:themeFillTint="99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0.01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Ki-67 (&lt;20 vs &gt; 20)</w:t>
            </w:r>
          </w:p>
        </w:tc>
        <w:tc>
          <w:tcPr>
            <w:tcW w:w="992" w:type="dxa"/>
            <w:shd w:val="clear" w:color="auto" w:fill="FFFFFF" w:themeFill="background1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0.16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2.06 (0.58- 7.26)</w:t>
            </w:r>
          </w:p>
        </w:tc>
        <w:tc>
          <w:tcPr>
            <w:tcW w:w="850" w:type="dxa"/>
            <w:shd w:val="clear" w:color="auto" w:fill="FFFFFF" w:themeFill="background1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0.26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Extracapsular invasion</w:t>
            </w:r>
          </w:p>
        </w:tc>
        <w:tc>
          <w:tcPr>
            <w:tcW w:w="992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0.79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1.21 (0.28-5.16)</w:t>
            </w:r>
          </w:p>
        </w:tc>
        <w:tc>
          <w:tcPr>
            <w:tcW w:w="85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0.97</w:t>
            </w:r>
          </w:p>
        </w:tc>
      </w:tr>
      <w:tr w:rsidR="00057CAC" w:rsidRPr="00057CAC" w:rsidTr="00057CAC">
        <w:tc>
          <w:tcPr>
            <w:tcW w:w="1951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NLI (&lt;2.18 vs &gt;2.18)</w:t>
            </w:r>
          </w:p>
        </w:tc>
        <w:tc>
          <w:tcPr>
            <w:tcW w:w="992" w:type="dxa"/>
            <w:shd w:val="clear" w:color="auto" w:fill="8064A2" w:themeFill="accent4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lang w:val="en-US"/>
              </w:rPr>
            </w:pPr>
            <w:r w:rsidRPr="00057CAC">
              <w:rPr>
                <w:sz w:val="18"/>
                <w:lang w:val="en-US"/>
              </w:rPr>
              <w:t>0.04</w:t>
            </w:r>
          </w:p>
        </w:tc>
        <w:tc>
          <w:tcPr>
            <w:tcW w:w="156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2.62 (0.28- 24.19)</w:t>
            </w:r>
          </w:p>
        </w:tc>
        <w:tc>
          <w:tcPr>
            <w:tcW w:w="850" w:type="dxa"/>
          </w:tcPr>
          <w:p w:rsidR="00057CAC" w:rsidRPr="00057CAC" w:rsidRDefault="00057CAC" w:rsidP="00042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lang w:val="en-US"/>
              </w:rPr>
            </w:pPr>
            <w:r w:rsidRPr="00057CAC">
              <w:rPr>
                <w:sz w:val="16"/>
                <w:lang w:val="en-US"/>
              </w:rPr>
              <w:t>0.22</w:t>
            </w:r>
          </w:p>
        </w:tc>
      </w:tr>
    </w:tbl>
    <w:p w:rsidR="00057CAC" w:rsidRDefault="00057CAC" w:rsidP="00057CAC">
      <w:pPr>
        <w:ind w:left="142"/>
        <w:jc w:val="both"/>
        <w:rPr>
          <w:rFonts w:ascii="Arial"/>
          <w:b/>
          <w:color w:val="BF5A14"/>
          <w:sz w:val="20"/>
        </w:rPr>
      </w:pPr>
      <w:r>
        <w:rPr>
          <w:rFonts w:ascii="Arial Narrow" w:hAnsi="Arial Narrow" w:cs="Times New Roman"/>
          <w:b/>
          <w:szCs w:val="24"/>
        </w:rPr>
        <w:t xml:space="preserve">Table: </w:t>
      </w:r>
      <w:r w:rsidRPr="001172FC">
        <w:rPr>
          <w:rFonts w:ascii="Arial Narrow" w:hAnsi="Arial Narrow" w:cs="Times New Roman"/>
          <w:b/>
          <w:szCs w:val="24"/>
        </w:rPr>
        <w:t>Regression analysis of COX for disease-free survival in patients with triple-negative cancer</w:t>
      </w:r>
      <w:r w:rsidR="005973B9">
        <w:rPr>
          <w:rFonts w:ascii="Arial"/>
          <w:b/>
          <w:color w:val="BF5A14"/>
          <w:sz w:val="20"/>
        </w:rPr>
        <w:br/>
      </w:r>
    </w:p>
    <w:p w:rsidR="005973B9" w:rsidRPr="00057CAC" w:rsidRDefault="005973B9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057CAC">
        <w:rPr>
          <w:rFonts w:ascii="Arial"/>
          <w:b/>
          <w:color w:val="000000" w:themeColor="text1"/>
          <w:sz w:val="20"/>
        </w:rPr>
        <w:t>Recent Publication</w:t>
      </w:r>
      <w:r w:rsidR="00057CAC">
        <w:rPr>
          <w:rFonts w:ascii="Arial"/>
          <w:b/>
          <w:color w:val="000000" w:themeColor="text1"/>
          <w:sz w:val="20"/>
        </w:rPr>
        <w:t>s</w:t>
      </w:r>
    </w:p>
    <w:p w:rsidR="00EA1CB1" w:rsidRPr="00A942CC" w:rsidRDefault="00EA1CB1" w:rsidP="00EA1CB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6"/>
          <w:szCs w:val="18"/>
        </w:rPr>
      </w:pPr>
      <w:r w:rsidRPr="00A942CC">
        <w:rPr>
          <w:rFonts w:ascii="Tw Cen MT" w:hAnsi="Tw Cen MT"/>
          <w:iCs/>
          <w:noProof/>
          <w:sz w:val="16"/>
          <w:szCs w:val="18"/>
        </w:rPr>
        <w:t xml:space="preserve">The Peripheral Blood Neutrophil-To- Lymphocyte Ratio Is Superior to the Lymphocyte-To-Monocyte Ratio for Predicting the Long-Term Survival of Triple-Negative Breast Cancer Patients . </w:t>
      </w:r>
      <w:r w:rsidRPr="00A942CC">
        <w:rPr>
          <w:rFonts w:ascii="Tw Cen MT" w:hAnsi="Tw Cen MT"/>
          <w:bCs/>
          <w:noProof/>
          <w:sz w:val="16"/>
          <w:szCs w:val="18"/>
        </w:rPr>
        <w:t>Weijuan Jia, Jiannan Wu, Haixia Jia, Yaping Yang, Xiaolan Zhang, Kai Chen, Fengxi Su.</w:t>
      </w:r>
      <w:r w:rsidRPr="00A942CC">
        <w:rPr>
          <w:rFonts w:ascii="Tw Cen MT" w:hAnsi="Tw Cen MT"/>
          <w:noProof/>
          <w:sz w:val="16"/>
          <w:szCs w:val="18"/>
        </w:rPr>
        <w:t xml:space="preserve"> s.l. : PLOS ONE, 2015.</w:t>
      </w:r>
    </w:p>
    <w:p w:rsidR="00EA1CB1" w:rsidRPr="00A942CC" w:rsidRDefault="00EA1CB1" w:rsidP="00EA1CB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6"/>
          <w:szCs w:val="18"/>
        </w:rPr>
      </w:pPr>
      <w:r w:rsidRPr="00A942CC">
        <w:rPr>
          <w:rFonts w:ascii="Tw Cen MT" w:hAnsi="Tw Cen MT"/>
          <w:iCs/>
          <w:noProof/>
          <w:sz w:val="16"/>
          <w:szCs w:val="18"/>
        </w:rPr>
        <w:t xml:space="preserve">Predicting the role of the pretreatment neutrophil to lymphocyte ratio in the survival of early triple-negative breast cancer patients . </w:t>
      </w:r>
      <w:r w:rsidRPr="00A942CC">
        <w:rPr>
          <w:rFonts w:ascii="Tw Cen MT" w:hAnsi="Tw Cen MT"/>
          <w:bCs/>
          <w:noProof/>
          <w:sz w:val="16"/>
          <w:szCs w:val="18"/>
        </w:rPr>
        <w:t>Oktay Bozkurt, Halit Karaca, Veli Berk, Mevlude Inanc, Ayse Ocak Duran, Ersin Ozaslan, Mahmut Ucar, Metin Ozkan.</w:t>
      </w:r>
      <w:r w:rsidRPr="00A942CC">
        <w:rPr>
          <w:rFonts w:ascii="Tw Cen MT" w:hAnsi="Tw Cen MT"/>
          <w:noProof/>
          <w:sz w:val="16"/>
          <w:szCs w:val="18"/>
        </w:rPr>
        <w:t xml:space="preserve"> 6, s.l. : JBUON, 2015, Vol. 20. 1432-1439.</w:t>
      </w:r>
    </w:p>
    <w:p w:rsidR="00EA1CB1" w:rsidRPr="00A942CC" w:rsidRDefault="00EA1CB1" w:rsidP="00EA1CB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6"/>
          <w:szCs w:val="18"/>
        </w:rPr>
      </w:pPr>
      <w:r w:rsidRPr="00A942CC">
        <w:rPr>
          <w:rFonts w:ascii="Tw Cen MT" w:hAnsi="Tw Cen MT"/>
          <w:iCs/>
          <w:noProof/>
          <w:sz w:val="16"/>
          <w:szCs w:val="18"/>
        </w:rPr>
        <w:t xml:space="preserve">Pre-treatment neutrophil to lymphocyte ratio may be a useful tool in predicting survival in early triple negative breast cancer patients. </w:t>
      </w:r>
      <w:r w:rsidRPr="00A942CC">
        <w:rPr>
          <w:rFonts w:ascii="Tw Cen MT" w:hAnsi="Tw Cen MT"/>
          <w:bCs/>
          <w:iCs/>
          <w:noProof/>
          <w:sz w:val="16"/>
          <w:szCs w:val="18"/>
          <w:lang w:val="es-MX"/>
        </w:rPr>
        <w:t>Mirco Pistelli, Mariagrazia De Lisa, Zelmira Ballatore, Miriam Caramanti, Alessandra Pagliacci, Nicola Battelli, et al,.</w:t>
      </w:r>
      <w:r w:rsidRPr="00A942CC">
        <w:rPr>
          <w:rFonts w:ascii="Tw Cen MT" w:hAnsi="Tw Cen MT"/>
          <w:iCs/>
          <w:noProof/>
          <w:sz w:val="16"/>
          <w:szCs w:val="18"/>
          <w:lang w:val="es-MX"/>
        </w:rPr>
        <w:t xml:space="preserve"> s.l. : BMC Cancer , 2015, Vol. 15. </w:t>
      </w:r>
      <w:r w:rsidRPr="00A942CC">
        <w:rPr>
          <w:rFonts w:ascii="Tw Cen MT" w:hAnsi="Tw Cen MT"/>
          <w:iCs/>
          <w:noProof/>
          <w:sz w:val="16"/>
          <w:szCs w:val="18"/>
        </w:rPr>
        <w:t>195</w:t>
      </w:r>
    </w:p>
    <w:p w:rsidR="00EA1CB1" w:rsidRPr="00A942CC" w:rsidRDefault="00EA1CB1" w:rsidP="00EA1CB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6"/>
          <w:szCs w:val="18"/>
          <w:lang w:val="es-MX"/>
        </w:rPr>
      </w:pPr>
      <w:r w:rsidRPr="00A942CC">
        <w:rPr>
          <w:rFonts w:ascii="Tw Cen MT" w:hAnsi="Tw Cen MT"/>
          <w:iCs/>
          <w:noProof/>
          <w:sz w:val="16"/>
          <w:szCs w:val="18"/>
          <w:lang w:val="es-MX"/>
        </w:rPr>
        <w:t xml:space="preserve">índice neutrófilo linfocito como predictor de gravedad y mortalidad en pacientes con sepsis abdominal. </w:t>
      </w:r>
      <w:r w:rsidRPr="00A942CC">
        <w:rPr>
          <w:rFonts w:ascii="Tw Cen MT" w:hAnsi="Tw Cen MT"/>
          <w:bCs/>
          <w:iCs/>
          <w:noProof/>
          <w:sz w:val="16"/>
          <w:szCs w:val="18"/>
          <w:lang w:val="es-MX"/>
        </w:rPr>
        <w:t>Reyes-Gálvez JA, Gracida-Mancilla NI, Enríquez-Santos D, Carrillo-Esper R.</w:t>
      </w:r>
      <w:r w:rsidRPr="00A942CC">
        <w:rPr>
          <w:rFonts w:ascii="Tw Cen MT" w:hAnsi="Tw Cen MT"/>
          <w:iCs/>
          <w:noProof/>
          <w:sz w:val="16"/>
          <w:szCs w:val="18"/>
          <w:lang w:val="es-MX"/>
        </w:rPr>
        <w:t xml:space="preserve"> 41-47., s.l. : Med Int Méx. , 2016, Vol. 32(1).</w:t>
      </w:r>
    </w:p>
    <w:p w:rsidR="00AE3E37" w:rsidRPr="00A942CC" w:rsidRDefault="00EA1CB1" w:rsidP="00EA1CB1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6"/>
          <w:szCs w:val="18"/>
          <w:lang w:val="es-MX"/>
        </w:rPr>
      </w:pPr>
      <w:r w:rsidRPr="00A942CC">
        <w:rPr>
          <w:rFonts w:ascii="Tw Cen MT" w:hAnsi="Tw Cen MT"/>
          <w:iCs/>
          <w:noProof/>
          <w:sz w:val="16"/>
          <w:szCs w:val="18"/>
        </w:rPr>
        <w:t xml:space="preserve">Predictive Value of Neutrophil/Lymphocyte Ratio for Efficacy of Preoperative Chemotherapy in Triple-Negative Breast Cancer. </w:t>
      </w:r>
      <w:r w:rsidRPr="00A942CC">
        <w:rPr>
          <w:rFonts w:ascii="Tw Cen MT" w:hAnsi="Tw Cen MT"/>
          <w:bCs/>
          <w:iCs/>
          <w:noProof/>
          <w:sz w:val="16"/>
          <w:szCs w:val="18"/>
        </w:rPr>
        <w:t>Yuka Asano, Shinichiro Kashiwagi, Naoyoshi Onoda et al.</w:t>
      </w:r>
      <w:r w:rsidRPr="00A942CC">
        <w:rPr>
          <w:rFonts w:ascii="Tw Cen MT" w:hAnsi="Tw Cen MT"/>
          <w:iCs/>
          <w:noProof/>
          <w:sz w:val="16"/>
          <w:szCs w:val="18"/>
        </w:rPr>
        <w:t xml:space="preserve"> s.l. : Ann Surg Oncol , 2016, Vol. 23:. 1104–1110.</w:t>
      </w:r>
      <w:r w:rsidRPr="00A942CC">
        <w:rPr>
          <w:rFonts w:ascii="Tw Cen MT" w:hAnsi="Tw Cen MT"/>
          <w:sz w:val="16"/>
          <w:szCs w:val="18"/>
          <w:lang w:val="es-MX"/>
        </w:rPr>
        <w:t xml:space="preserve"> </w:t>
      </w:r>
    </w:p>
    <w:p w:rsidR="00AE3E37" w:rsidRPr="00EA1CB1" w:rsidRDefault="00AE3E37">
      <w:pPr>
        <w:spacing w:line="200" w:lineRule="exact"/>
        <w:jc w:val="both"/>
        <w:rPr>
          <w:rFonts w:ascii="Calibri" w:hAnsi="Calibri"/>
          <w:lang w:val="es-MX"/>
        </w:rPr>
        <w:sectPr w:rsidR="00AE3E37" w:rsidRPr="00EA1CB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EA1CB1" w:rsidRDefault="00AE3E37">
      <w:pPr>
        <w:pStyle w:val="Textoindependiente"/>
        <w:rPr>
          <w:rFonts w:ascii="Calibri"/>
          <w:sz w:val="20"/>
          <w:lang w:val="es-MX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D8F4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942CC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58240" behindDoc="1" locked="0" layoutInCell="1" allowOverlap="1" wp14:anchorId="6F460589">
            <wp:simplePos x="0" y="0"/>
            <wp:positionH relativeFrom="column">
              <wp:posOffset>254000</wp:posOffset>
            </wp:positionH>
            <wp:positionV relativeFrom="paragraph">
              <wp:posOffset>57785</wp:posOffset>
            </wp:positionV>
            <wp:extent cx="619125" cy="735965"/>
            <wp:effectExtent l="0" t="0" r="9525" b="6985"/>
            <wp:wrapTight wrapText="bothSides">
              <wp:wrapPolygon edited="0">
                <wp:start x="0" y="0"/>
                <wp:lineTo x="0" y="21246"/>
                <wp:lineTo x="21268" y="21246"/>
                <wp:lineTo x="2126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ralta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 w:rsidR="00A9710C" w:rsidRPr="00873647">
        <w:rPr>
          <w:rFonts w:ascii="Arial"/>
          <w:color w:val="000000" w:themeColor="text1"/>
          <w:sz w:val="20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1" w:name="_GoBack"/>
      <w:bookmarkEnd w:id="1"/>
    </w:p>
    <w:p w:rsidR="009C614A" w:rsidRDefault="009C614A" w:rsidP="009C614A">
      <w:pPr>
        <w:spacing w:before="62"/>
        <w:ind w:left="1560" w:right="342" w:firstLine="2658"/>
        <w:jc w:val="both"/>
        <w:rPr>
          <w:rFonts w:cs="Arial"/>
          <w:color w:val="212121"/>
          <w:sz w:val="16"/>
          <w:szCs w:val="16"/>
          <w:shd w:val="clear" w:color="auto" w:fill="FFFFFF"/>
        </w:rPr>
      </w:pPr>
      <w:r>
        <w:br/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 xml:space="preserve">Dr. 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>Guillermo Peralta is a breast surgeon, with several studies in international centers (</w:t>
      </w:r>
      <w:r w:rsidR="00873647">
        <w:rPr>
          <w:rFonts w:cs="Arial"/>
          <w:color w:val="212121"/>
          <w:sz w:val="16"/>
          <w:szCs w:val="16"/>
          <w:shd w:val="clear" w:color="auto" w:fill="FFFFFF"/>
        </w:rPr>
        <w:t xml:space="preserve">Tec </w:t>
      </w:r>
      <w:proofErr w:type="spellStart"/>
      <w:r w:rsidR="00873647">
        <w:rPr>
          <w:rFonts w:cs="Arial"/>
          <w:color w:val="212121"/>
          <w:sz w:val="16"/>
          <w:szCs w:val="16"/>
          <w:shd w:val="clear" w:color="auto" w:fill="FFFFFF"/>
        </w:rPr>
        <w:t>Momnterrey</w:t>
      </w:r>
      <w:proofErr w:type="spellEnd"/>
      <w:r w:rsidR="00873647">
        <w:rPr>
          <w:rFonts w:cs="Arial"/>
          <w:color w:val="212121"/>
          <w:sz w:val="16"/>
          <w:szCs w:val="16"/>
          <w:shd w:val="clear" w:color="auto" w:fill="FFFFFF"/>
        </w:rPr>
        <w:t xml:space="preserve">, 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European institute of oncology, FUCAM, Texas </w:t>
      </w:r>
      <w:proofErr w:type="spellStart"/>
      <w:r w:rsidRPr="009C614A">
        <w:rPr>
          <w:rFonts w:cs="Arial"/>
          <w:color w:val="212121"/>
          <w:sz w:val="16"/>
          <w:szCs w:val="16"/>
          <w:shd w:val="clear" w:color="auto" w:fill="FFFFFF"/>
        </w:rPr>
        <w:t>endosurgery</w:t>
      </w:r>
      <w:proofErr w:type="spellEnd"/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 </w:t>
      </w:r>
      <w:proofErr w:type="spellStart"/>
      <w:r w:rsidRPr="009C614A">
        <w:rPr>
          <w:rFonts w:cs="Arial"/>
          <w:color w:val="212121"/>
          <w:sz w:val="16"/>
          <w:szCs w:val="16"/>
          <w:shd w:val="clear" w:color="auto" w:fill="FFFFFF"/>
        </w:rPr>
        <w:t>Insitute</w:t>
      </w:r>
      <w:proofErr w:type="spellEnd"/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) that has devoted his career to the diagnosis and treatment of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 xml:space="preserve">breast 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>diseases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>, w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ith multiple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>articles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 in this field, from benign pathology (</w:t>
      </w:r>
      <w:proofErr w:type="spellStart"/>
      <w:r w:rsidR="002B38FF">
        <w:rPr>
          <w:rFonts w:cs="Arial"/>
          <w:color w:val="212121"/>
          <w:sz w:val="16"/>
          <w:szCs w:val="16"/>
          <w:shd w:val="clear" w:color="auto" w:fill="FFFFFF"/>
        </w:rPr>
        <w:t>Sherwell</w:t>
      </w:r>
      <w:proofErr w:type="spellEnd"/>
      <w:r w:rsidR="002B38FF">
        <w:rPr>
          <w:rFonts w:cs="Arial"/>
          <w:color w:val="212121"/>
          <w:sz w:val="16"/>
          <w:szCs w:val="16"/>
          <w:shd w:val="clear" w:color="auto" w:fill="FFFFFF"/>
        </w:rPr>
        <w:t>-Cabello, Peralta 2016/Lemus-Said, Peralta 2017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>) to the development and patent of adjuvant supplements in the treatment of advanced breast cancer (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>Peralta- Aceves 2011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).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>Now he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 is currently working as head of the breast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 xml:space="preserve">clinic at 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cancer center Tec100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>in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 xml:space="preserve">Queretaro, 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 xml:space="preserve">Mexico and 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 xml:space="preserve">as </w:t>
      </w:r>
      <w:r w:rsidRPr="009C614A">
        <w:rPr>
          <w:rFonts w:cs="Arial"/>
          <w:color w:val="212121"/>
          <w:sz w:val="16"/>
          <w:szCs w:val="16"/>
          <w:shd w:val="clear" w:color="auto" w:fill="FFFFFF"/>
        </w:rPr>
        <w:t>coordinator of the research committee of the same center</w:t>
      </w:r>
      <w:r w:rsidR="002B38FF">
        <w:rPr>
          <w:rFonts w:cs="Arial"/>
          <w:color w:val="212121"/>
          <w:sz w:val="16"/>
          <w:szCs w:val="16"/>
          <w:shd w:val="clear" w:color="auto" w:fill="FFFFFF"/>
        </w:rPr>
        <w:t>.</w:t>
      </w:r>
    </w:p>
    <w:p w:rsidR="00AE3E37" w:rsidRDefault="009C614A" w:rsidP="009C614A">
      <w:pPr>
        <w:spacing w:before="62"/>
        <w:ind w:left="1560" w:right="342" w:firstLine="2658"/>
        <w:jc w:val="both"/>
        <w:rPr>
          <w:rFonts w:ascii="Arial"/>
          <w:sz w:val="14"/>
        </w:rPr>
      </w:pPr>
      <w:proofErr w:type="gramStart"/>
      <w:r w:rsidRPr="009C614A">
        <w:rPr>
          <w:rFonts w:cs="Arial"/>
          <w:color w:val="212121"/>
          <w:sz w:val="16"/>
          <w:szCs w:val="16"/>
          <w:shd w:val="clear" w:color="auto" w:fill="FFFFFF"/>
        </w:rPr>
        <w:t>.</w:t>
      </w:r>
      <w:r w:rsidR="00A9710C" w:rsidRPr="009C614A">
        <w:rPr>
          <w:sz w:val="16"/>
          <w:szCs w:val="16"/>
        </w:rPr>
        <w:t>Email</w:t>
      </w:r>
      <w:proofErr w:type="gramEnd"/>
      <w:r w:rsidR="00A9710C" w:rsidRPr="009C614A">
        <w:rPr>
          <w:sz w:val="16"/>
          <w:szCs w:val="16"/>
        </w:rPr>
        <w:t>:</w:t>
      </w:r>
      <w:r w:rsidR="00A9710C">
        <w:rPr>
          <w:rFonts w:ascii="Arial"/>
          <w:sz w:val="14"/>
        </w:rPr>
        <w:t xml:space="preserve"> </w:t>
      </w:r>
      <w:hyperlink r:id="rId10" w:history="1">
        <w:r w:rsidR="00E444D6" w:rsidRPr="00EF052B">
          <w:rPr>
            <w:rStyle w:val="Hipervnculo"/>
            <w:rFonts w:ascii="Arial"/>
            <w:sz w:val="14"/>
          </w:rPr>
          <w:t>drperalta-g</w:t>
        </w:r>
      </w:hyperlink>
      <w:r w:rsidR="00A942CC">
        <w:rPr>
          <w:rStyle w:val="Hipervnculo"/>
          <w:sz w:val="14"/>
        </w:rPr>
        <w:t>@</w:t>
      </w:r>
      <w:r w:rsidR="00A942CC">
        <w:rPr>
          <w:rStyle w:val="Hipervnculo"/>
          <w:rFonts w:ascii="Arial"/>
          <w:sz w:val="14"/>
        </w:rPr>
        <w:t>outlook.com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03FB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495" w:rsidRDefault="00180495">
      <w:r>
        <w:separator/>
      </w:r>
    </w:p>
  </w:endnote>
  <w:endnote w:type="continuationSeparator" w:id="0">
    <w:p w:rsidR="00180495" w:rsidRDefault="00180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495" w:rsidRDefault="00180495">
      <w:r>
        <w:separator/>
      </w:r>
    </w:p>
  </w:footnote>
  <w:footnote w:type="continuationSeparator" w:id="0">
    <w:p w:rsidR="00180495" w:rsidRDefault="00180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CAC"/>
    <w:rsid w:val="000E2911"/>
    <w:rsid w:val="00113F38"/>
    <w:rsid w:val="001263DF"/>
    <w:rsid w:val="00180495"/>
    <w:rsid w:val="00292ED9"/>
    <w:rsid w:val="002B38FF"/>
    <w:rsid w:val="00404E5B"/>
    <w:rsid w:val="00414F7B"/>
    <w:rsid w:val="00415012"/>
    <w:rsid w:val="004355DC"/>
    <w:rsid w:val="004749B4"/>
    <w:rsid w:val="00494130"/>
    <w:rsid w:val="004F3523"/>
    <w:rsid w:val="005973B9"/>
    <w:rsid w:val="005B3A56"/>
    <w:rsid w:val="006060CE"/>
    <w:rsid w:val="00631317"/>
    <w:rsid w:val="0063497F"/>
    <w:rsid w:val="00873647"/>
    <w:rsid w:val="00873DF0"/>
    <w:rsid w:val="008756E6"/>
    <w:rsid w:val="009B2D44"/>
    <w:rsid w:val="009C3C96"/>
    <w:rsid w:val="009C614A"/>
    <w:rsid w:val="00A07E82"/>
    <w:rsid w:val="00A942CC"/>
    <w:rsid w:val="00A9710C"/>
    <w:rsid w:val="00AE3E37"/>
    <w:rsid w:val="00B21A57"/>
    <w:rsid w:val="00C33602"/>
    <w:rsid w:val="00CD6F55"/>
    <w:rsid w:val="00DE3104"/>
    <w:rsid w:val="00E444D6"/>
    <w:rsid w:val="00EA1CB1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8434E"/>
  <w15:docId w15:val="{C68602E0-7B3D-41E5-93E0-B48F925D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aconcuadrcula">
    <w:name w:val="Table Grid"/>
    <w:basedOn w:val="Tablanormal"/>
    <w:uiPriority w:val="39"/>
    <w:rsid w:val="00057CAC"/>
    <w:pPr>
      <w:widowControl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44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peralta-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690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Guillermo Peralta</cp:lastModifiedBy>
  <cp:revision>2</cp:revision>
  <dcterms:created xsi:type="dcterms:W3CDTF">2018-09-21T01:03:00Z</dcterms:created>
  <dcterms:modified xsi:type="dcterms:W3CDTF">2018-09-21T01:03:00Z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