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587B" w:rsidRPr="00B6542C" w:rsidRDefault="00A4587B" w:rsidP="00D44E27">
      <w:pPr>
        <w:spacing w:line="276" w:lineRule="auto"/>
        <w:rPr>
          <w:rFonts w:ascii="Times New Roman" w:hAnsi="Times New Roman" w:cs="Times New Roman"/>
          <w:b/>
          <w:bCs/>
          <w:sz w:val="24"/>
          <w:szCs w:val="24"/>
        </w:rPr>
      </w:pPr>
      <w:bookmarkStart w:id="0" w:name="_Toc1398298"/>
    </w:p>
    <w:p w:rsidR="00A4587B" w:rsidRPr="00B6542C" w:rsidRDefault="00A4587B" w:rsidP="00D44E27">
      <w:pPr>
        <w:spacing w:line="276" w:lineRule="auto"/>
        <w:rPr>
          <w:rFonts w:ascii="Times New Roman" w:hAnsi="Times New Roman" w:cs="Times New Roman"/>
          <w:b/>
          <w:bCs/>
          <w:sz w:val="24"/>
          <w:szCs w:val="24"/>
        </w:rPr>
      </w:pPr>
      <w:r w:rsidRPr="00B6542C">
        <w:rPr>
          <w:rFonts w:ascii="Times New Roman" w:hAnsi="Times New Roman" w:cs="Times New Roman"/>
          <w:b/>
          <w:bCs/>
          <w:sz w:val="24"/>
          <w:szCs w:val="24"/>
        </w:rPr>
        <w:t>Analysis of The Maternal Mortality Data, Kenya, 2014</w:t>
      </w:r>
    </w:p>
    <w:p w:rsidR="00A4587B" w:rsidRPr="00B6542C" w:rsidRDefault="00A4587B" w:rsidP="00D44E27">
      <w:pPr>
        <w:spacing w:line="276" w:lineRule="auto"/>
        <w:rPr>
          <w:rFonts w:ascii="Times New Roman" w:hAnsi="Times New Roman" w:cs="Times New Roman"/>
          <w:bCs/>
          <w:sz w:val="24"/>
          <w:szCs w:val="24"/>
          <w:vertAlign w:val="superscript"/>
        </w:rPr>
      </w:pPr>
      <w:r w:rsidRPr="00B6542C">
        <w:rPr>
          <w:rFonts w:ascii="Times New Roman" w:hAnsi="Times New Roman" w:cs="Times New Roman"/>
          <w:b/>
          <w:bCs/>
          <w:sz w:val="24"/>
          <w:szCs w:val="24"/>
        </w:rPr>
        <w:t xml:space="preserve">Authors: </w:t>
      </w:r>
      <w:r w:rsidRPr="00B6542C">
        <w:rPr>
          <w:rFonts w:ascii="Times New Roman" w:hAnsi="Times New Roman" w:cs="Times New Roman"/>
          <w:bCs/>
          <w:sz w:val="24"/>
          <w:szCs w:val="24"/>
        </w:rPr>
        <w:t>Qabale Duba</w:t>
      </w:r>
      <w:r w:rsidRPr="00B6542C">
        <w:rPr>
          <w:rFonts w:ascii="Times New Roman" w:hAnsi="Times New Roman" w:cs="Times New Roman"/>
          <w:bCs/>
          <w:sz w:val="24"/>
          <w:szCs w:val="24"/>
          <w:vertAlign w:val="superscript"/>
        </w:rPr>
        <w:t>2</w:t>
      </w:r>
      <w:r w:rsidRPr="00B6542C">
        <w:rPr>
          <w:rFonts w:ascii="Times New Roman" w:hAnsi="Times New Roman" w:cs="Times New Roman"/>
          <w:bCs/>
          <w:sz w:val="24"/>
          <w:szCs w:val="24"/>
        </w:rPr>
        <w:t>, Elvis Oyugi</w:t>
      </w:r>
      <w:r w:rsidRPr="00B6542C">
        <w:rPr>
          <w:rFonts w:ascii="Times New Roman" w:hAnsi="Times New Roman" w:cs="Times New Roman"/>
          <w:bCs/>
          <w:sz w:val="24"/>
          <w:szCs w:val="24"/>
          <w:vertAlign w:val="superscript"/>
        </w:rPr>
        <w:t>2</w:t>
      </w:r>
      <w:r w:rsidRPr="00B6542C">
        <w:rPr>
          <w:rFonts w:ascii="Times New Roman" w:hAnsi="Times New Roman" w:cs="Times New Roman"/>
          <w:bCs/>
          <w:sz w:val="24"/>
          <w:szCs w:val="24"/>
        </w:rPr>
        <w:t>, Wangui Muthigani</w:t>
      </w:r>
      <w:r w:rsidRPr="00B6542C">
        <w:rPr>
          <w:rFonts w:ascii="Times New Roman" w:hAnsi="Times New Roman" w:cs="Times New Roman"/>
          <w:bCs/>
          <w:sz w:val="24"/>
          <w:szCs w:val="24"/>
          <w:vertAlign w:val="superscript"/>
        </w:rPr>
        <w:t>1</w:t>
      </w:r>
    </w:p>
    <w:p w:rsidR="00A4587B" w:rsidRPr="00B6542C" w:rsidRDefault="00A4587B" w:rsidP="00D44E27">
      <w:pPr>
        <w:spacing w:line="276" w:lineRule="auto"/>
        <w:rPr>
          <w:rFonts w:ascii="Times New Roman" w:hAnsi="Times New Roman" w:cs="Times New Roman"/>
          <w:b/>
          <w:bCs/>
          <w:sz w:val="24"/>
          <w:szCs w:val="24"/>
        </w:rPr>
      </w:pPr>
      <w:r w:rsidRPr="00B6542C">
        <w:rPr>
          <w:rFonts w:ascii="Times New Roman" w:hAnsi="Times New Roman" w:cs="Times New Roman"/>
          <w:b/>
          <w:bCs/>
          <w:sz w:val="24"/>
          <w:szCs w:val="24"/>
        </w:rPr>
        <w:t>Authors affiliation:</w:t>
      </w:r>
    </w:p>
    <w:p w:rsidR="00A4587B" w:rsidRPr="00B6542C" w:rsidRDefault="00A4587B" w:rsidP="00D44E27">
      <w:pPr>
        <w:spacing w:line="276" w:lineRule="auto"/>
        <w:rPr>
          <w:rFonts w:ascii="Times New Roman" w:hAnsi="Times New Roman" w:cs="Times New Roman"/>
          <w:bCs/>
          <w:sz w:val="24"/>
          <w:szCs w:val="24"/>
        </w:rPr>
      </w:pPr>
      <w:r w:rsidRPr="00B6542C">
        <w:rPr>
          <w:rFonts w:ascii="Times New Roman" w:hAnsi="Times New Roman" w:cs="Times New Roman"/>
          <w:bCs/>
          <w:sz w:val="24"/>
          <w:szCs w:val="24"/>
          <w:vertAlign w:val="superscript"/>
        </w:rPr>
        <w:t>1.</w:t>
      </w:r>
      <w:r w:rsidRPr="00B6542C">
        <w:rPr>
          <w:rFonts w:ascii="Times New Roman" w:hAnsi="Times New Roman" w:cs="Times New Roman"/>
          <w:bCs/>
          <w:sz w:val="24"/>
          <w:szCs w:val="24"/>
        </w:rPr>
        <w:t>Division of family health, Reproductive and Maternal Health Services Unit</w:t>
      </w:r>
    </w:p>
    <w:p w:rsidR="00E62B5A" w:rsidRPr="00B6542C" w:rsidRDefault="00A4587B" w:rsidP="00D44E27">
      <w:pPr>
        <w:spacing w:line="276" w:lineRule="auto"/>
        <w:rPr>
          <w:rFonts w:ascii="Times New Roman" w:hAnsi="Times New Roman" w:cs="Times New Roman"/>
          <w:bCs/>
          <w:sz w:val="24"/>
          <w:szCs w:val="24"/>
        </w:rPr>
      </w:pPr>
      <w:r w:rsidRPr="00B6542C">
        <w:rPr>
          <w:rFonts w:ascii="Times New Roman" w:hAnsi="Times New Roman" w:cs="Times New Roman"/>
          <w:bCs/>
          <w:sz w:val="24"/>
          <w:szCs w:val="24"/>
          <w:vertAlign w:val="superscript"/>
        </w:rPr>
        <w:t>2.</w:t>
      </w:r>
      <w:r w:rsidRPr="00B6542C">
        <w:rPr>
          <w:rFonts w:ascii="Times New Roman" w:hAnsi="Times New Roman" w:cs="Times New Roman"/>
          <w:bCs/>
          <w:sz w:val="24"/>
          <w:szCs w:val="24"/>
        </w:rPr>
        <w:t xml:space="preserve">Kenya Field Epidemiology and Laboratory Training Program, Nairobi Kenya </w:t>
      </w:r>
      <w:bookmarkEnd w:id="0"/>
    </w:p>
    <w:p w:rsidR="00D44E27" w:rsidRPr="00B6542C" w:rsidRDefault="00D44E27" w:rsidP="00D44E27">
      <w:pPr>
        <w:spacing w:line="276" w:lineRule="auto"/>
        <w:rPr>
          <w:rFonts w:ascii="Times New Roman" w:hAnsi="Times New Roman" w:cs="Times New Roman"/>
          <w:b/>
          <w:sz w:val="24"/>
          <w:szCs w:val="24"/>
        </w:rPr>
      </w:pPr>
    </w:p>
    <w:p w:rsidR="00E62B5A" w:rsidRPr="00B6542C" w:rsidRDefault="00E62B5A" w:rsidP="00D44E27">
      <w:pPr>
        <w:spacing w:line="276" w:lineRule="auto"/>
        <w:rPr>
          <w:rFonts w:ascii="Times New Roman" w:hAnsi="Times New Roman" w:cs="Times New Roman"/>
          <w:b/>
          <w:sz w:val="24"/>
          <w:szCs w:val="24"/>
        </w:rPr>
      </w:pPr>
      <w:r w:rsidRPr="00B6542C">
        <w:rPr>
          <w:rFonts w:ascii="Times New Roman" w:hAnsi="Times New Roman" w:cs="Times New Roman"/>
          <w:b/>
          <w:sz w:val="24"/>
          <w:szCs w:val="24"/>
        </w:rPr>
        <w:t xml:space="preserve">Background: </w:t>
      </w:r>
      <w:r w:rsidRPr="00B6542C">
        <w:rPr>
          <w:rFonts w:ascii="Times New Roman" w:hAnsi="Times New Roman" w:cs="Times New Roman"/>
          <w:sz w:val="24"/>
          <w:szCs w:val="24"/>
        </w:rPr>
        <w:t xml:space="preserve">Maternal mortality is the death of a woman during pregnancy or within 6 weeks of the termination of pregnancy, irrespective of the duration and site of the pregnancy, from any cause related to or aggravated by the pregnancy or its management but not from accidental or incidental causes (1). An estimated 303,000 women died </w:t>
      </w:r>
      <w:r w:rsidR="00A4587B" w:rsidRPr="00B6542C">
        <w:rPr>
          <w:rFonts w:ascii="Times New Roman" w:hAnsi="Times New Roman" w:cs="Times New Roman"/>
          <w:sz w:val="24"/>
          <w:szCs w:val="24"/>
        </w:rPr>
        <w:t xml:space="preserve">worldwide </w:t>
      </w:r>
      <w:r w:rsidRPr="00B6542C">
        <w:rPr>
          <w:rFonts w:ascii="Times New Roman" w:hAnsi="Times New Roman" w:cs="Times New Roman"/>
          <w:sz w:val="24"/>
          <w:szCs w:val="24"/>
        </w:rPr>
        <w:t>annually during pregnancy, childbirth or in the postnatal period, 2.6 million babies are stillborn and 2.7 million babies died within one month of birth (5). The 2014 Kenya Demographic and Health Survey (KDHS) estimated the maternal mortality ratio (MMR) to be 362/100,000 live births, and neonatal mortality rate as 22/1000 live births (KDHS 2014) (6).</w:t>
      </w:r>
    </w:p>
    <w:p w:rsidR="00E62B5A" w:rsidRPr="00B6542C" w:rsidRDefault="00E62B5A" w:rsidP="00D44E27">
      <w:pPr>
        <w:spacing w:line="276" w:lineRule="auto"/>
        <w:rPr>
          <w:rFonts w:ascii="Times New Roman" w:hAnsi="Times New Roman" w:cs="Times New Roman"/>
          <w:sz w:val="24"/>
          <w:szCs w:val="24"/>
        </w:rPr>
      </w:pPr>
      <w:r w:rsidRPr="00B6542C">
        <w:rPr>
          <w:rFonts w:ascii="Times New Roman" w:hAnsi="Times New Roman" w:cs="Times New Roman"/>
          <w:b/>
          <w:bCs/>
          <w:sz w:val="24"/>
          <w:szCs w:val="24"/>
        </w:rPr>
        <w:t xml:space="preserve">Main objectives: </w:t>
      </w:r>
      <w:r w:rsidRPr="00B6542C">
        <w:rPr>
          <w:rFonts w:ascii="Times New Roman" w:hAnsi="Times New Roman" w:cs="Times New Roman"/>
          <w:bCs/>
          <w:sz w:val="24"/>
          <w:szCs w:val="24"/>
        </w:rPr>
        <w:t>The main objectives include</w:t>
      </w:r>
      <w:r w:rsidRPr="00B6542C">
        <w:rPr>
          <w:rFonts w:ascii="Times New Roman" w:hAnsi="Times New Roman" w:cs="Times New Roman"/>
          <w:sz w:val="24"/>
          <w:szCs w:val="24"/>
        </w:rPr>
        <w:t xml:space="preserve">, evaluation of the maternal and perinatal death surveillance system, characterization of the maternal deaths contained in the surveillance system and assessment of the contributory/risk factors for maternal deaths. </w:t>
      </w:r>
    </w:p>
    <w:p w:rsidR="00E62B5A" w:rsidRPr="00B6542C" w:rsidRDefault="00E62B5A" w:rsidP="00D44E27">
      <w:pPr>
        <w:spacing w:after="200" w:line="276" w:lineRule="auto"/>
        <w:rPr>
          <w:rFonts w:ascii="Times New Roman" w:hAnsi="Times New Roman" w:cs="Times New Roman"/>
          <w:sz w:val="24"/>
          <w:szCs w:val="24"/>
        </w:rPr>
      </w:pPr>
      <w:r w:rsidRPr="00B6542C">
        <w:rPr>
          <w:rFonts w:ascii="Times New Roman" w:hAnsi="Times New Roman" w:cs="Times New Roman"/>
          <w:b/>
          <w:sz w:val="24"/>
          <w:szCs w:val="24"/>
        </w:rPr>
        <w:t xml:space="preserve">Methods: </w:t>
      </w:r>
      <w:r w:rsidRPr="00B6542C">
        <w:rPr>
          <w:rFonts w:ascii="Times New Roman" w:hAnsi="Times New Roman" w:cs="Times New Roman"/>
          <w:sz w:val="24"/>
          <w:szCs w:val="24"/>
        </w:rPr>
        <w:t xml:space="preserve">A cross-sectional study was done through retrospective analysis of the </w:t>
      </w:r>
      <w:r w:rsidRPr="00B6542C">
        <w:rPr>
          <w:rFonts w:ascii="Times New Roman" w:hAnsi="Times New Roman" w:cs="Times New Roman"/>
          <w:bCs/>
          <w:sz w:val="24"/>
          <w:szCs w:val="24"/>
        </w:rPr>
        <w:t>maternal death records.</w:t>
      </w:r>
      <w:r w:rsidRPr="00B6542C">
        <w:rPr>
          <w:rFonts w:ascii="Times New Roman" w:hAnsi="Times New Roman" w:cs="Times New Roman"/>
          <w:b/>
          <w:bCs/>
          <w:sz w:val="24"/>
          <w:szCs w:val="24"/>
        </w:rPr>
        <w:t xml:space="preserve"> </w:t>
      </w:r>
      <w:r w:rsidRPr="00B6542C">
        <w:rPr>
          <w:rFonts w:ascii="Times New Roman" w:hAnsi="Times New Roman" w:cs="Times New Roman"/>
          <w:bCs/>
          <w:sz w:val="24"/>
          <w:szCs w:val="24"/>
        </w:rPr>
        <w:t xml:space="preserve">The source of data was DHIS2 and the </w:t>
      </w:r>
      <w:r w:rsidRPr="00B6542C">
        <w:rPr>
          <w:rFonts w:ascii="Times New Roman" w:hAnsi="Times New Roman" w:cs="Times New Roman"/>
          <w:sz w:val="24"/>
          <w:szCs w:val="24"/>
        </w:rPr>
        <w:t>study population were the women who died during pregnancy or within 6 weeks after child birth/ abortion in Kenya, between January 2014 – December 2014. Data analysed using MS excel and Epi info. Means were calculated for continuous variables, frequency and proportions for categorical variables.</w:t>
      </w:r>
    </w:p>
    <w:p w:rsidR="00E62B5A" w:rsidRPr="00B6542C" w:rsidRDefault="00E62B5A" w:rsidP="00D44E27">
      <w:pPr>
        <w:spacing w:after="0" w:line="276" w:lineRule="auto"/>
        <w:textAlignment w:val="baseline"/>
        <w:rPr>
          <w:rFonts w:ascii="Times New Roman" w:eastAsia="Times New Roman" w:hAnsi="Times New Roman" w:cs="Times New Roman"/>
          <w:color w:val="000000"/>
          <w:sz w:val="24"/>
          <w:szCs w:val="24"/>
        </w:rPr>
      </w:pPr>
      <w:r w:rsidRPr="00B6542C">
        <w:rPr>
          <w:rFonts w:ascii="Times New Roman" w:hAnsi="Times New Roman" w:cs="Times New Roman"/>
          <w:b/>
          <w:sz w:val="24"/>
          <w:szCs w:val="24"/>
        </w:rPr>
        <w:t xml:space="preserve">Results: </w:t>
      </w:r>
      <w:r w:rsidRPr="00B6542C">
        <w:rPr>
          <w:rFonts w:ascii="Times New Roman" w:hAnsi="Times New Roman" w:cs="Times New Roman"/>
          <w:sz w:val="24"/>
          <w:szCs w:val="24"/>
        </w:rPr>
        <w:t>A total of a 467 MPDSR records were reviewed. The mean was 27.8(SD6.4),</w:t>
      </w:r>
      <w:r w:rsidRPr="00B6542C">
        <w:rPr>
          <w:rFonts w:ascii="Times New Roman" w:eastAsia="Times New Roman" w:hAnsi="Times New Roman" w:cs="Times New Roman"/>
          <w:color w:val="000000"/>
          <w:sz w:val="24"/>
          <w:szCs w:val="24"/>
        </w:rPr>
        <w:t xml:space="preserve"> rift valley region had highest number of deaths</w:t>
      </w:r>
      <w:r w:rsidRPr="00B6542C">
        <w:rPr>
          <w:rFonts w:ascii="Times New Roman" w:eastAsia="Times New Roman" w:hAnsi="Times New Roman" w:cs="Times New Roman"/>
          <w:b/>
          <w:bCs/>
          <w:color w:val="000000"/>
          <w:sz w:val="24"/>
          <w:szCs w:val="24"/>
        </w:rPr>
        <w:t xml:space="preserve"> </w:t>
      </w:r>
      <w:r w:rsidRPr="00B6542C">
        <w:rPr>
          <w:rFonts w:ascii="Times New Roman" w:eastAsia="Times New Roman" w:hAnsi="Times New Roman" w:cs="Times New Roman"/>
          <w:bCs/>
          <w:color w:val="000000"/>
          <w:sz w:val="24"/>
          <w:szCs w:val="24"/>
        </w:rPr>
        <w:t>100(21.6%)</w:t>
      </w:r>
      <w:r w:rsidRPr="00B6542C">
        <w:rPr>
          <w:rFonts w:ascii="Times New Roman" w:eastAsia="Times New Roman" w:hAnsi="Times New Roman" w:cs="Times New Roman"/>
          <w:color w:val="000000"/>
          <w:sz w:val="24"/>
          <w:szCs w:val="24"/>
        </w:rPr>
        <w:t>.</w:t>
      </w:r>
      <w:r w:rsidRPr="00B6542C">
        <w:rPr>
          <w:rFonts w:ascii="Times New Roman" w:eastAsia="Times New Roman" w:hAnsi="Times New Roman" w:cs="Times New Roman"/>
          <w:b/>
          <w:bCs/>
          <w:color w:val="000000"/>
          <w:sz w:val="24"/>
          <w:szCs w:val="24"/>
        </w:rPr>
        <w:t xml:space="preserve"> </w:t>
      </w:r>
      <w:r w:rsidRPr="00B6542C">
        <w:rPr>
          <w:rFonts w:ascii="Times New Roman" w:eastAsia="Times New Roman" w:hAnsi="Times New Roman" w:cs="Times New Roman"/>
          <w:bCs/>
          <w:color w:val="000000"/>
          <w:sz w:val="24"/>
          <w:szCs w:val="24"/>
        </w:rPr>
        <w:t>234(50.1%)</w:t>
      </w:r>
      <w:r w:rsidRPr="00B6542C">
        <w:rPr>
          <w:rFonts w:ascii="Times New Roman" w:eastAsia="Times New Roman" w:hAnsi="Times New Roman" w:cs="Times New Roman"/>
          <w:b/>
          <w:bCs/>
          <w:color w:val="000000"/>
          <w:sz w:val="24"/>
          <w:szCs w:val="24"/>
        </w:rPr>
        <w:t xml:space="preserve"> </w:t>
      </w:r>
      <w:r w:rsidRPr="00B6542C">
        <w:rPr>
          <w:rFonts w:ascii="Times New Roman" w:eastAsia="Times New Roman" w:hAnsi="Times New Roman" w:cs="Times New Roman"/>
          <w:color w:val="000000"/>
          <w:sz w:val="24"/>
          <w:szCs w:val="24"/>
        </w:rPr>
        <w:t>of the women are referrals from other health facilities,</w:t>
      </w:r>
      <w:r w:rsidRPr="00B6542C">
        <w:rPr>
          <w:rFonts w:ascii="Times New Roman" w:eastAsia="Times New Roman" w:hAnsi="Times New Roman" w:cs="Times New Roman"/>
          <w:b/>
          <w:bCs/>
          <w:color w:val="000000"/>
          <w:sz w:val="24"/>
          <w:szCs w:val="24"/>
        </w:rPr>
        <w:t xml:space="preserve"> </w:t>
      </w:r>
      <w:r w:rsidRPr="00B6542C">
        <w:rPr>
          <w:rFonts w:ascii="Times New Roman" w:eastAsia="Times New Roman" w:hAnsi="Times New Roman" w:cs="Times New Roman"/>
          <w:bCs/>
          <w:color w:val="000000"/>
          <w:sz w:val="24"/>
          <w:szCs w:val="24"/>
        </w:rPr>
        <w:t>100(21.4%)</w:t>
      </w:r>
      <w:r w:rsidRPr="00B6542C">
        <w:rPr>
          <w:rFonts w:ascii="Times New Roman" w:eastAsia="Times New Roman" w:hAnsi="Times New Roman" w:cs="Times New Roman"/>
          <w:color w:val="000000"/>
          <w:sz w:val="24"/>
          <w:szCs w:val="24"/>
        </w:rPr>
        <w:t xml:space="preserve"> delivered weekdays after working hours while 138(</w:t>
      </w:r>
      <w:r w:rsidRPr="00B6542C">
        <w:rPr>
          <w:rFonts w:ascii="Times New Roman" w:eastAsia="Times New Roman" w:hAnsi="Times New Roman" w:cs="Times New Roman"/>
          <w:bCs/>
          <w:color w:val="000000"/>
          <w:sz w:val="24"/>
          <w:szCs w:val="24"/>
        </w:rPr>
        <w:t>29.6%)</w:t>
      </w:r>
      <w:r w:rsidRPr="00B6542C">
        <w:rPr>
          <w:rFonts w:ascii="Times New Roman" w:eastAsia="Times New Roman" w:hAnsi="Times New Roman" w:cs="Times New Roman"/>
          <w:color w:val="000000"/>
          <w:sz w:val="24"/>
          <w:szCs w:val="24"/>
        </w:rPr>
        <w:t xml:space="preserve"> of the women died on a weekend.</w:t>
      </w:r>
      <w:r w:rsidRPr="00B6542C">
        <w:rPr>
          <w:rFonts w:ascii="Times New Roman" w:eastAsia="Times New Roman" w:hAnsi="Times New Roman" w:cs="Times New Roman"/>
          <w:b/>
          <w:bCs/>
          <w:color w:val="000000"/>
          <w:sz w:val="24"/>
          <w:szCs w:val="24"/>
        </w:rPr>
        <w:t xml:space="preserve"> </w:t>
      </w:r>
      <w:r w:rsidRPr="00B6542C">
        <w:rPr>
          <w:rFonts w:ascii="Times New Roman" w:eastAsia="Times New Roman" w:hAnsi="Times New Roman" w:cs="Times New Roman"/>
          <w:bCs/>
          <w:color w:val="000000"/>
          <w:sz w:val="24"/>
          <w:szCs w:val="24"/>
        </w:rPr>
        <w:t>219(46.9%)</w:t>
      </w:r>
      <w:r w:rsidRPr="00B6542C">
        <w:rPr>
          <w:rFonts w:ascii="Times New Roman" w:eastAsia="Times New Roman" w:hAnsi="Times New Roman" w:cs="Times New Roman"/>
          <w:b/>
          <w:bCs/>
          <w:color w:val="000000"/>
          <w:sz w:val="24"/>
          <w:szCs w:val="24"/>
        </w:rPr>
        <w:t xml:space="preserve"> </w:t>
      </w:r>
      <w:r w:rsidRPr="00B6542C">
        <w:rPr>
          <w:rFonts w:ascii="Times New Roman" w:eastAsia="Times New Roman" w:hAnsi="Times New Roman" w:cs="Times New Roman"/>
          <w:color w:val="000000"/>
          <w:sz w:val="24"/>
          <w:szCs w:val="24"/>
        </w:rPr>
        <w:t>received Antenatal Care, live birth accounted for177(</w:t>
      </w:r>
      <w:r w:rsidRPr="00B6542C">
        <w:rPr>
          <w:rFonts w:ascii="Times New Roman" w:eastAsia="Times New Roman" w:hAnsi="Times New Roman" w:cs="Times New Roman"/>
          <w:bCs/>
          <w:color w:val="000000"/>
          <w:sz w:val="24"/>
          <w:szCs w:val="24"/>
        </w:rPr>
        <w:t>37.9%)</w:t>
      </w:r>
      <w:r w:rsidRPr="00B6542C">
        <w:rPr>
          <w:rFonts w:ascii="Times New Roman" w:eastAsia="Times New Roman" w:hAnsi="Times New Roman" w:cs="Times New Roman"/>
          <w:b/>
          <w:bCs/>
          <w:color w:val="000000"/>
          <w:sz w:val="24"/>
          <w:szCs w:val="24"/>
        </w:rPr>
        <w:t xml:space="preserve"> </w:t>
      </w:r>
      <w:r w:rsidRPr="00B6542C">
        <w:rPr>
          <w:rFonts w:ascii="Times New Roman" w:eastAsia="Times New Roman" w:hAnsi="Times New Roman" w:cs="Times New Roman"/>
          <w:color w:val="000000"/>
          <w:sz w:val="24"/>
          <w:szCs w:val="24"/>
        </w:rPr>
        <w:t>while 121(</w:t>
      </w:r>
      <w:r w:rsidRPr="00B6542C">
        <w:rPr>
          <w:rFonts w:ascii="Times New Roman" w:eastAsia="Times New Roman" w:hAnsi="Times New Roman" w:cs="Times New Roman"/>
          <w:bCs/>
          <w:color w:val="000000"/>
          <w:sz w:val="24"/>
          <w:szCs w:val="24"/>
        </w:rPr>
        <w:t>25.9%)</w:t>
      </w:r>
      <w:r w:rsidRPr="00B6542C">
        <w:rPr>
          <w:rFonts w:ascii="Times New Roman" w:eastAsia="Times New Roman" w:hAnsi="Times New Roman" w:cs="Times New Roman"/>
          <w:b/>
          <w:bCs/>
          <w:color w:val="000000"/>
          <w:sz w:val="24"/>
          <w:szCs w:val="24"/>
        </w:rPr>
        <w:t xml:space="preserve"> </w:t>
      </w:r>
      <w:r w:rsidRPr="00B6542C">
        <w:rPr>
          <w:rFonts w:ascii="Times New Roman" w:eastAsia="Times New Roman" w:hAnsi="Times New Roman" w:cs="Times New Roman"/>
          <w:color w:val="000000"/>
          <w:sz w:val="24"/>
          <w:szCs w:val="24"/>
        </w:rPr>
        <w:t>of women who died had stillbirth. 178(</w:t>
      </w:r>
      <w:r w:rsidRPr="00B6542C">
        <w:rPr>
          <w:rFonts w:ascii="Times New Roman" w:eastAsia="Times New Roman" w:hAnsi="Times New Roman" w:cs="Times New Roman"/>
          <w:bCs/>
          <w:color w:val="000000"/>
          <w:sz w:val="24"/>
          <w:szCs w:val="24"/>
        </w:rPr>
        <w:t>38.1%)</w:t>
      </w:r>
      <w:r w:rsidRPr="00B6542C">
        <w:rPr>
          <w:rFonts w:ascii="Times New Roman" w:eastAsia="Times New Roman" w:hAnsi="Times New Roman" w:cs="Times New Roman"/>
          <w:color w:val="000000"/>
          <w:sz w:val="24"/>
          <w:szCs w:val="24"/>
        </w:rPr>
        <w:t xml:space="preserve"> had virginal delivery</w:t>
      </w:r>
      <w:r w:rsidRPr="00B6542C">
        <w:rPr>
          <w:rFonts w:ascii="Times New Roman" w:eastAsia="Times New Roman" w:hAnsi="Times New Roman" w:cs="Times New Roman"/>
          <w:b/>
          <w:bCs/>
          <w:color w:val="000000"/>
          <w:sz w:val="24"/>
          <w:szCs w:val="24"/>
        </w:rPr>
        <w:t xml:space="preserve">, </w:t>
      </w:r>
      <w:r w:rsidRPr="00B6542C">
        <w:rPr>
          <w:rFonts w:ascii="Times New Roman" w:eastAsia="Times New Roman" w:hAnsi="Times New Roman" w:cs="Times New Roman"/>
          <w:bCs/>
          <w:color w:val="000000"/>
          <w:sz w:val="24"/>
          <w:szCs w:val="24"/>
        </w:rPr>
        <w:t>132(28.2%)</w:t>
      </w:r>
      <w:r w:rsidRPr="00B6542C">
        <w:rPr>
          <w:rFonts w:ascii="Times New Roman" w:eastAsia="Times New Roman" w:hAnsi="Times New Roman" w:cs="Times New Roman"/>
          <w:color w:val="000000"/>
          <w:sz w:val="24"/>
          <w:szCs w:val="24"/>
        </w:rPr>
        <w:t xml:space="preserve"> were delivered through Caesarean Section and 70(</w:t>
      </w:r>
      <w:r w:rsidRPr="00B6542C">
        <w:rPr>
          <w:rFonts w:ascii="Times New Roman" w:eastAsia="Times New Roman" w:hAnsi="Times New Roman" w:cs="Times New Roman"/>
          <w:bCs/>
          <w:color w:val="000000"/>
          <w:sz w:val="24"/>
          <w:szCs w:val="24"/>
        </w:rPr>
        <w:t>15%)</w:t>
      </w:r>
      <w:r w:rsidRPr="00B6542C">
        <w:rPr>
          <w:rFonts w:ascii="Times New Roman" w:eastAsia="Times New Roman" w:hAnsi="Times New Roman" w:cs="Times New Roman"/>
          <w:color w:val="000000"/>
          <w:sz w:val="24"/>
          <w:szCs w:val="24"/>
        </w:rPr>
        <w:t xml:space="preserve"> died undelivered. A total of 107(</w:t>
      </w:r>
      <w:r w:rsidRPr="00B6542C">
        <w:rPr>
          <w:rFonts w:ascii="Times New Roman" w:eastAsia="Times New Roman" w:hAnsi="Times New Roman" w:cs="Times New Roman"/>
          <w:bCs/>
          <w:color w:val="000000"/>
          <w:sz w:val="24"/>
          <w:szCs w:val="24"/>
        </w:rPr>
        <w:t>22.9%)</w:t>
      </w:r>
      <w:r w:rsidRPr="00B6542C">
        <w:rPr>
          <w:rFonts w:ascii="Times New Roman" w:eastAsia="Times New Roman" w:hAnsi="Times New Roman" w:cs="Times New Roman"/>
          <w:b/>
          <w:bCs/>
          <w:color w:val="000000"/>
          <w:sz w:val="24"/>
          <w:szCs w:val="24"/>
        </w:rPr>
        <w:t xml:space="preserve"> </w:t>
      </w:r>
      <w:r w:rsidRPr="00B6542C">
        <w:rPr>
          <w:rFonts w:ascii="Times New Roman" w:eastAsia="Times New Roman" w:hAnsi="Times New Roman" w:cs="Times New Roman"/>
          <w:color w:val="000000"/>
          <w:sz w:val="24"/>
          <w:szCs w:val="24"/>
        </w:rPr>
        <w:t>had delay in decision making, 140(30</w:t>
      </w:r>
      <w:r w:rsidRPr="00B6542C">
        <w:rPr>
          <w:rFonts w:ascii="Times New Roman" w:eastAsia="Times New Roman" w:hAnsi="Times New Roman" w:cs="Times New Roman"/>
          <w:bCs/>
          <w:color w:val="000000"/>
          <w:sz w:val="24"/>
          <w:szCs w:val="24"/>
        </w:rPr>
        <w:t>%)</w:t>
      </w:r>
      <w:r w:rsidRPr="00B6542C">
        <w:rPr>
          <w:rFonts w:ascii="Times New Roman" w:eastAsia="Times New Roman" w:hAnsi="Times New Roman" w:cs="Times New Roman"/>
          <w:color w:val="000000"/>
          <w:sz w:val="24"/>
          <w:szCs w:val="24"/>
        </w:rPr>
        <w:t xml:space="preserve"> delayed in reporting to health facility and 157(</w:t>
      </w:r>
      <w:r w:rsidRPr="00B6542C">
        <w:rPr>
          <w:rFonts w:ascii="Times New Roman" w:eastAsia="Times New Roman" w:hAnsi="Times New Roman" w:cs="Times New Roman"/>
          <w:bCs/>
          <w:color w:val="000000"/>
          <w:sz w:val="24"/>
          <w:szCs w:val="24"/>
        </w:rPr>
        <w:t>33.6%)</w:t>
      </w:r>
      <w:r w:rsidRPr="00B6542C">
        <w:rPr>
          <w:rFonts w:ascii="Times New Roman" w:eastAsia="Times New Roman" w:hAnsi="Times New Roman" w:cs="Times New Roman"/>
          <w:color w:val="000000"/>
          <w:sz w:val="24"/>
          <w:szCs w:val="24"/>
        </w:rPr>
        <w:t xml:space="preserve"> reported delay in starting the treatment at the health facility. </w:t>
      </w:r>
    </w:p>
    <w:p w:rsidR="00E62B5A" w:rsidRPr="00B6542C" w:rsidRDefault="00E62B5A" w:rsidP="00D44E27">
      <w:pPr>
        <w:spacing w:after="0" w:line="276" w:lineRule="auto"/>
        <w:textAlignment w:val="baseline"/>
        <w:rPr>
          <w:rFonts w:ascii="Times New Roman" w:eastAsia="Times New Roman" w:hAnsi="Times New Roman" w:cs="Times New Roman"/>
          <w:color w:val="000000"/>
          <w:sz w:val="24"/>
          <w:szCs w:val="24"/>
        </w:rPr>
      </w:pPr>
    </w:p>
    <w:p w:rsidR="00D44E27" w:rsidRPr="00B6542C" w:rsidRDefault="00E62B5A" w:rsidP="00D44E27">
      <w:pPr>
        <w:spacing w:after="0" w:line="276" w:lineRule="auto"/>
        <w:textAlignment w:val="baseline"/>
        <w:rPr>
          <w:rFonts w:ascii="Times New Roman" w:hAnsi="Times New Roman" w:cs="Times New Roman"/>
          <w:sz w:val="24"/>
          <w:szCs w:val="24"/>
        </w:rPr>
      </w:pPr>
      <w:r w:rsidRPr="00B6542C">
        <w:rPr>
          <w:rFonts w:ascii="Times New Roman" w:eastAsia="Times New Roman" w:hAnsi="Times New Roman" w:cs="Times New Roman"/>
          <w:b/>
          <w:color w:val="000000"/>
          <w:sz w:val="24"/>
          <w:szCs w:val="24"/>
        </w:rPr>
        <w:t>Conclusion: </w:t>
      </w:r>
      <w:r w:rsidRPr="00B6542C">
        <w:rPr>
          <w:rFonts w:ascii="Times New Roman" w:hAnsi="Times New Roman" w:cs="Times New Roman"/>
          <w:sz w:val="24"/>
          <w:szCs w:val="24"/>
        </w:rPr>
        <w:t>Most maternal deaths occurred after the 5pm and on the weekends. The three delays are among the leading non-obstetric factors causing maternal deaths in Kenya.</w:t>
      </w:r>
    </w:p>
    <w:p w:rsidR="00D44E27" w:rsidRPr="00B6542C" w:rsidRDefault="00D44E27" w:rsidP="00D44E27">
      <w:pPr>
        <w:spacing w:after="0" w:line="276" w:lineRule="auto"/>
        <w:textAlignment w:val="baseline"/>
        <w:rPr>
          <w:rFonts w:ascii="Times New Roman" w:hAnsi="Times New Roman" w:cs="Times New Roman"/>
          <w:b/>
          <w:sz w:val="24"/>
          <w:szCs w:val="24"/>
        </w:rPr>
      </w:pPr>
    </w:p>
    <w:p w:rsidR="00E62B5A" w:rsidRPr="00B6542C" w:rsidRDefault="00E62B5A" w:rsidP="00D44E27">
      <w:pPr>
        <w:spacing w:after="0" w:line="276" w:lineRule="auto"/>
        <w:textAlignment w:val="baseline"/>
        <w:rPr>
          <w:rFonts w:ascii="Times New Roman" w:hAnsi="Times New Roman" w:cs="Times New Roman"/>
          <w:sz w:val="24"/>
          <w:szCs w:val="24"/>
        </w:rPr>
      </w:pPr>
      <w:r w:rsidRPr="00B6542C">
        <w:rPr>
          <w:rFonts w:ascii="Times New Roman" w:hAnsi="Times New Roman" w:cs="Times New Roman"/>
          <w:b/>
          <w:sz w:val="24"/>
          <w:szCs w:val="24"/>
        </w:rPr>
        <w:t xml:space="preserve">Key words: </w:t>
      </w:r>
      <w:r w:rsidRPr="00B6542C">
        <w:rPr>
          <w:rFonts w:ascii="Times New Roman" w:hAnsi="Times New Roman" w:cs="Times New Roman"/>
          <w:sz w:val="24"/>
          <w:szCs w:val="24"/>
        </w:rPr>
        <w:t xml:space="preserve">Maternal mortality, Antenatal care, </w:t>
      </w:r>
      <w:r w:rsidR="00B6542C" w:rsidRPr="00B6542C">
        <w:rPr>
          <w:rFonts w:ascii="Times New Roman" w:hAnsi="Times New Roman" w:cs="Times New Roman"/>
          <w:sz w:val="24"/>
          <w:szCs w:val="24"/>
        </w:rPr>
        <w:t>Surveillance System</w:t>
      </w:r>
    </w:p>
    <w:p w:rsidR="00BF11F9" w:rsidRPr="00B6542C" w:rsidRDefault="00BF11F9" w:rsidP="00D44E27">
      <w:pPr>
        <w:spacing w:line="276" w:lineRule="auto"/>
        <w:rPr>
          <w:sz w:val="24"/>
          <w:szCs w:val="24"/>
        </w:rPr>
      </w:pPr>
      <w:bookmarkStart w:id="1" w:name="_GoBack"/>
      <w:bookmarkEnd w:id="1"/>
    </w:p>
    <w:sectPr w:rsidR="00BF11F9" w:rsidRPr="00B654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53C8C"/>
    <w:multiLevelType w:val="hybridMultilevel"/>
    <w:tmpl w:val="4A1CA7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74F6DA2"/>
    <w:multiLevelType w:val="hybridMultilevel"/>
    <w:tmpl w:val="07BE6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B5A"/>
    <w:rsid w:val="001A3EB1"/>
    <w:rsid w:val="00A4587B"/>
    <w:rsid w:val="00B6542C"/>
    <w:rsid w:val="00BF11F9"/>
    <w:rsid w:val="00CB534A"/>
    <w:rsid w:val="00D44E27"/>
    <w:rsid w:val="00E62B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564A1"/>
  <w15:chartTrackingRefBased/>
  <w15:docId w15:val="{EAA9B3DD-B0AC-4F3E-9AC5-20A6E8409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58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395</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2019-02-27T06:49:00Z</dcterms:created>
  <dcterms:modified xsi:type="dcterms:W3CDTF">2019-02-27T09:09:00Z</dcterms:modified>
</cp:coreProperties>
</file>