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1D7" w:rsidRPr="00E541D7" w:rsidRDefault="00E541D7" w:rsidP="00E541D7">
      <w:pPr>
        <w:keepNext/>
        <w:keepLines/>
        <w:spacing w:after="0"/>
        <w:outlineLvl w:val="0"/>
        <w:rPr>
          <w:rFonts w:ascii="Times New Roman" w:eastAsia="Arial Unicode MS" w:hAnsi="Times New Roman" w:cs="Times New Roman"/>
          <w:b/>
          <w:bCs/>
          <w:sz w:val="24"/>
          <w:szCs w:val="28"/>
        </w:rPr>
      </w:pPr>
      <w:r w:rsidRPr="00E541D7">
        <w:rPr>
          <w:rFonts w:ascii="Times New Roman" w:eastAsia="Arial Unicode MS" w:hAnsi="Times New Roman" w:cs="Times New Roman"/>
          <w:b/>
          <w:bCs/>
          <w:sz w:val="28"/>
          <w:szCs w:val="28"/>
        </w:rPr>
        <w:t>Abstract</w:t>
      </w:r>
      <w:r w:rsidRPr="00E541D7">
        <w:rPr>
          <w:rFonts w:ascii="Times New Roman" w:eastAsia="Arial Unicode MS" w:hAnsi="Times New Roman" w:cs="Times New Roman"/>
          <w:b/>
          <w:bCs/>
          <w:sz w:val="24"/>
          <w:szCs w:val="28"/>
        </w:rPr>
        <w:t xml:space="preserve"> </w:t>
      </w:r>
    </w:p>
    <w:p w:rsidR="00E541D7" w:rsidRPr="00E541D7" w:rsidRDefault="00E541D7" w:rsidP="00E541D7">
      <w:pPr>
        <w:spacing w:after="0"/>
        <w:jc w:val="both"/>
        <w:rPr>
          <w:rFonts w:ascii="Times New Roman" w:eastAsia="Times New Roman" w:hAnsi="Times New Roman" w:cs="Times New Roman"/>
          <w:i/>
          <w:sz w:val="24"/>
          <w:szCs w:val="24"/>
        </w:rPr>
      </w:pPr>
      <w:r w:rsidRPr="00E541D7">
        <w:rPr>
          <w:rFonts w:ascii="Times New Roman" w:eastAsia="Times New Roman" w:hAnsi="Times New Roman" w:cs="Times New Roman"/>
          <w:b/>
          <w:i/>
          <w:sz w:val="24"/>
          <w:szCs w:val="24"/>
        </w:rPr>
        <w:t xml:space="preserve">Background: </w:t>
      </w:r>
      <w:r w:rsidRPr="00E541D7">
        <w:rPr>
          <w:rFonts w:ascii="Times New Roman" w:eastAsia="Times New Roman" w:hAnsi="Times New Roman" w:cs="Times New Roman"/>
          <w:i/>
          <w:sz w:val="24"/>
          <w:szCs w:val="24"/>
        </w:rPr>
        <w:t>Contraceptive prevalence rate for currently married women age 15-49 in Ethiopia is 36%, with 35% using modern methods and 1% using traditional methods. Fifty-eight percent of sexually active unmarried women use contraceptive methods, with 55% using modern methods and 3% using traditional methods.</w:t>
      </w:r>
      <w:r w:rsidRPr="00E541D7">
        <w:rPr>
          <w:rFonts w:ascii="Calibri" w:eastAsia="Times New Roman" w:hAnsi="Calibri" w:cs="Times New Roman"/>
        </w:rPr>
        <w:t xml:space="preserve"> </w:t>
      </w:r>
      <w:r w:rsidRPr="00E541D7">
        <w:rPr>
          <w:rFonts w:ascii="Times New Roman" w:eastAsia="Times New Roman" w:hAnsi="Times New Roman" w:cs="Times New Roman"/>
          <w:i/>
          <w:sz w:val="24"/>
          <w:szCs w:val="24"/>
        </w:rPr>
        <w:t xml:space="preserve">The use of Intra-uterine Contraceptive Device was only 2% among married and 1% among </w:t>
      </w:r>
      <w:r w:rsidRPr="00E541D7">
        <w:rPr>
          <w:rFonts w:ascii="Times New Roman" w:eastAsia="Times New Roman" w:hAnsi="Times New Roman" w:cs="Times New Roman"/>
          <w:i/>
          <w:sz w:val="24"/>
          <w:szCs w:val="24"/>
        </w:rPr>
        <w:t>non-married</w:t>
      </w:r>
      <w:bookmarkStart w:id="0" w:name="_GoBack"/>
      <w:bookmarkEnd w:id="0"/>
      <w:r w:rsidRPr="00E541D7">
        <w:rPr>
          <w:rFonts w:ascii="Times New Roman" w:eastAsia="Times New Roman" w:hAnsi="Times New Roman" w:cs="Times New Roman"/>
          <w:i/>
          <w:sz w:val="24"/>
          <w:szCs w:val="24"/>
        </w:rPr>
        <w:t xml:space="preserve"> wome</w:t>
      </w:r>
      <w:r>
        <w:rPr>
          <w:rFonts w:ascii="Times New Roman" w:eastAsia="Times New Roman" w:hAnsi="Times New Roman" w:cs="Times New Roman"/>
          <w:i/>
          <w:sz w:val="24"/>
          <w:szCs w:val="24"/>
        </w:rPr>
        <w:t>n</w:t>
      </w:r>
      <w:r w:rsidRPr="00E541D7">
        <w:rPr>
          <w:rFonts w:ascii="Times New Roman" w:eastAsia="Times New Roman" w:hAnsi="Times New Roman" w:cs="Times New Roman"/>
          <w:i/>
          <w:sz w:val="24"/>
          <w:szCs w:val="24"/>
        </w:rPr>
        <w:t xml:space="preserve"> in 2016. During the postpartum period, many women are not aware of their risk for pregnancy, which may occur as early as four to six weeks after birth. Although postpartum women may want to either space or limit subsequent births and would like to use contraception in Ethiopia, the practice of postpartum counseling for family planning is not so strong Furthermore, Effectiveness of focused  counseling in increasing immediate Intra Uterine Device uptake is not well documented either.</w:t>
      </w:r>
    </w:p>
    <w:p w:rsidR="00E541D7" w:rsidRPr="00E541D7" w:rsidRDefault="00E541D7" w:rsidP="00E541D7">
      <w:pPr>
        <w:spacing w:before="240" w:after="0"/>
        <w:jc w:val="both"/>
        <w:rPr>
          <w:rFonts w:ascii="Times New Roman" w:eastAsia="Times New Roman" w:hAnsi="Times New Roman" w:cs="Times New Roman"/>
          <w:b/>
          <w:i/>
          <w:sz w:val="24"/>
          <w:szCs w:val="24"/>
        </w:rPr>
      </w:pPr>
      <w:r w:rsidRPr="00E541D7">
        <w:rPr>
          <w:rFonts w:ascii="Times New Roman" w:eastAsia="Times New Roman" w:hAnsi="Times New Roman" w:cs="Times New Roman"/>
          <w:b/>
          <w:i/>
          <w:sz w:val="24"/>
          <w:szCs w:val="24"/>
        </w:rPr>
        <w:t xml:space="preserve">Objectives: </w:t>
      </w:r>
      <w:r w:rsidRPr="00E541D7">
        <w:rPr>
          <w:rFonts w:ascii="Times New Roman" w:eastAsia="Times New Roman" w:hAnsi="Times New Roman" w:cs="Times New Roman"/>
          <w:i/>
          <w:sz w:val="24"/>
          <w:szCs w:val="24"/>
        </w:rPr>
        <w:t xml:space="preserve">To determine effectiveness of focused family panning counseling in increasing the postpartum Intra-uterine Contraceptive Device uptake during the immediate postpartum period among mothers who delivered in selected public health facilities of </w:t>
      </w:r>
      <w:proofErr w:type="spellStart"/>
      <w:r w:rsidRPr="00E541D7">
        <w:rPr>
          <w:rFonts w:ascii="Times New Roman" w:eastAsia="Times New Roman" w:hAnsi="Times New Roman" w:cs="Times New Roman"/>
          <w:i/>
          <w:sz w:val="24"/>
          <w:szCs w:val="24"/>
        </w:rPr>
        <w:t>Adama</w:t>
      </w:r>
      <w:proofErr w:type="spellEnd"/>
      <w:r w:rsidRPr="00E541D7">
        <w:rPr>
          <w:rFonts w:ascii="Times New Roman" w:eastAsia="Times New Roman" w:hAnsi="Times New Roman" w:cs="Times New Roman"/>
          <w:i/>
          <w:sz w:val="24"/>
          <w:szCs w:val="24"/>
        </w:rPr>
        <w:t xml:space="preserve"> and </w:t>
      </w:r>
      <w:proofErr w:type="spellStart"/>
      <w:r w:rsidRPr="00E541D7">
        <w:rPr>
          <w:rFonts w:ascii="Times New Roman" w:eastAsia="Times New Roman" w:hAnsi="Times New Roman" w:cs="Times New Roman"/>
          <w:i/>
          <w:sz w:val="24"/>
          <w:szCs w:val="24"/>
        </w:rPr>
        <w:t>Olenchiti</w:t>
      </w:r>
      <w:proofErr w:type="spellEnd"/>
      <w:r w:rsidRPr="00E541D7">
        <w:rPr>
          <w:rFonts w:ascii="Times New Roman" w:eastAsia="Times New Roman" w:hAnsi="Times New Roman" w:cs="Times New Roman"/>
          <w:i/>
          <w:sz w:val="24"/>
          <w:szCs w:val="24"/>
        </w:rPr>
        <w:t xml:space="preserve"> town from April 01, 2017 to May 30, 2017.</w:t>
      </w:r>
    </w:p>
    <w:p w:rsidR="00E541D7" w:rsidRPr="00E541D7" w:rsidRDefault="00E541D7" w:rsidP="00E541D7">
      <w:pPr>
        <w:spacing w:before="240" w:after="0"/>
        <w:jc w:val="both"/>
        <w:rPr>
          <w:rFonts w:ascii="Times New Roman" w:eastAsia="Times New Roman" w:hAnsi="Times New Roman" w:cs="Times New Roman"/>
          <w:i/>
          <w:sz w:val="24"/>
          <w:szCs w:val="24"/>
        </w:rPr>
      </w:pPr>
      <w:r w:rsidRPr="00E541D7">
        <w:rPr>
          <w:rFonts w:ascii="Times New Roman" w:eastAsia="Times New Roman" w:hAnsi="Times New Roman" w:cs="Times New Roman"/>
          <w:b/>
          <w:i/>
          <w:sz w:val="24"/>
          <w:szCs w:val="24"/>
        </w:rPr>
        <w:t xml:space="preserve">Methods: </w:t>
      </w:r>
      <w:r w:rsidRPr="00E541D7">
        <w:rPr>
          <w:rFonts w:ascii="Times New Roman" w:eastAsia="Times New Roman" w:hAnsi="Times New Roman" w:cs="Times New Roman"/>
          <w:i/>
          <w:sz w:val="24"/>
          <w:szCs w:val="24"/>
        </w:rPr>
        <w:t xml:space="preserve">Quasi-experimental study design was employed including two independent geographically clustered settings, </w:t>
      </w:r>
      <w:proofErr w:type="spellStart"/>
      <w:r w:rsidRPr="00E541D7">
        <w:rPr>
          <w:rFonts w:ascii="Times New Roman" w:eastAsia="Times New Roman" w:hAnsi="Times New Roman" w:cs="Times New Roman"/>
          <w:i/>
          <w:sz w:val="24"/>
          <w:szCs w:val="24"/>
        </w:rPr>
        <w:t>Adama</w:t>
      </w:r>
      <w:proofErr w:type="spellEnd"/>
      <w:r w:rsidRPr="00E541D7">
        <w:rPr>
          <w:rFonts w:ascii="Times New Roman" w:eastAsia="Times New Roman" w:hAnsi="Times New Roman" w:cs="Times New Roman"/>
          <w:i/>
          <w:sz w:val="24"/>
          <w:szCs w:val="24"/>
        </w:rPr>
        <w:t xml:space="preserve"> and </w:t>
      </w:r>
      <w:proofErr w:type="spellStart"/>
      <w:r w:rsidRPr="00E541D7">
        <w:rPr>
          <w:rFonts w:ascii="Times New Roman" w:eastAsia="Times New Roman" w:hAnsi="Times New Roman" w:cs="Times New Roman"/>
          <w:i/>
          <w:sz w:val="24"/>
          <w:szCs w:val="24"/>
        </w:rPr>
        <w:t>Olenchiti</w:t>
      </w:r>
      <w:proofErr w:type="spellEnd"/>
      <w:r w:rsidRPr="00E541D7">
        <w:rPr>
          <w:rFonts w:ascii="Times New Roman" w:eastAsia="Times New Roman" w:hAnsi="Times New Roman" w:cs="Times New Roman"/>
          <w:i/>
          <w:sz w:val="24"/>
          <w:szCs w:val="24"/>
        </w:rPr>
        <w:t xml:space="preserve"> towns. A total of 726 immediate post-partum mothers, 484 in non-intervention and 242 intervention groups were included consecutively during the study period. Focused family planning counseling Cue card, adapted </w:t>
      </w:r>
      <w:proofErr w:type="gramStart"/>
      <w:r w:rsidRPr="00E541D7">
        <w:rPr>
          <w:rFonts w:ascii="Times New Roman" w:eastAsia="Times New Roman" w:hAnsi="Times New Roman" w:cs="Times New Roman"/>
          <w:i/>
          <w:sz w:val="24"/>
          <w:szCs w:val="24"/>
        </w:rPr>
        <w:t>from</w:t>
      </w:r>
      <w:proofErr w:type="gramEnd"/>
      <w:r w:rsidRPr="00E541D7">
        <w:rPr>
          <w:rFonts w:ascii="Times New Roman" w:eastAsia="Times New Roman" w:hAnsi="Times New Roman" w:cs="Times New Roman"/>
          <w:i/>
          <w:sz w:val="24"/>
          <w:szCs w:val="24"/>
        </w:rPr>
        <w:t xml:space="preserve"> WHO guideline as per the constructs of Health Belief Model, was given to the intervention group while control group followed the usual service delivery counseling modality. Semi-structured questionnaire was used for data collection. Epi Info version 7 was used for data entry and exported to SPSS version 20 for editing and analysis. Descriptive statistics, bivariate and multivariable analysis was done. Odds ratio and 95% confidence interval was used to assess strength of associations. </w:t>
      </w:r>
    </w:p>
    <w:p w:rsidR="00E541D7" w:rsidRPr="00E541D7" w:rsidRDefault="00E541D7" w:rsidP="00E541D7">
      <w:pPr>
        <w:spacing w:after="0"/>
        <w:jc w:val="both"/>
        <w:rPr>
          <w:rFonts w:ascii="Calibri" w:eastAsia="Times New Roman" w:hAnsi="Calibri" w:cs="Times New Roman"/>
          <w:i/>
        </w:rPr>
      </w:pPr>
      <w:r w:rsidRPr="00E541D7">
        <w:rPr>
          <w:rFonts w:ascii="Times New Roman" w:eastAsia="Times New Roman" w:hAnsi="Times New Roman" w:cs="Times New Roman"/>
          <w:b/>
          <w:i/>
          <w:sz w:val="24"/>
          <w:szCs w:val="24"/>
        </w:rPr>
        <w:t xml:space="preserve">Result: </w:t>
      </w:r>
      <w:r w:rsidRPr="00E541D7">
        <w:rPr>
          <w:rFonts w:ascii="Times New Roman" w:eastAsia="Times New Roman" w:hAnsi="Times New Roman" w:cs="Times New Roman"/>
          <w:i/>
          <w:sz w:val="24"/>
        </w:rPr>
        <w:t>Mean age with standard deviation of the study participants in intervention and non-intervention groups were 26.9(</w:t>
      </w:r>
      <w:r w:rsidRPr="00E541D7">
        <w:rPr>
          <w:rFonts w:ascii="Times New Roman" w:eastAsia="Times New Roman" w:hAnsi="Times New Roman" w:cs="Times New Roman"/>
          <w:i/>
          <w:sz w:val="24"/>
          <w:u w:val="single"/>
        </w:rPr>
        <w:t>+</w:t>
      </w:r>
      <w:r w:rsidRPr="00E541D7">
        <w:rPr>
          <w:rFonts w:ascii="Times New Roman" w:eastAsia="Times New Roman" w:hAnsi="Times New Roman" w:cs="Times New Roman"/>
          <w:i/>
          <w:sz w:val="24"/>
        </w:rPr>
        <w:t>5.4SD) and 25.7(</w:t>
      </w:r>
      <w:r w:rsidRPr="00E541D7">
        <w:rPr>
          <w:rFonts w:ascii="Times New Roman" w:eastAsia="Times New Roman" w:hAnsi="Times New Roman" w:cs="Times New Roman"/>
          <w:i/>
          <w:sz w:val="24"/>
          <w:u w:val="single"/>
        </w:rPr>
        <w:t>+</w:t>
      </w:r>
      <w:r w:rsidRPr="00E541D7">
        <w:rPr>
          <w:rFonts w:ascii="Times New Roman" w:eastAsia="Times New Roman" w:hAnsi="Times New Roman" w:cs="Times New Roman"/>
          <w:i/>
          <w:sz w:val="24"/>
        </w:rPr>
        <w:t>5.4SD) years respectively.</w:t>
      </w:r>
      <w:r w:rsidRPr="00E541D7">
        <w:rPr>
          <w:rFonts w:ascii="Times New Roman" w:eastAsia="Times New Roman" w:hAnsi="Times New Roman" w:cs="Times New Roman"/>
          <w:i/>
          <w:sz w:val="24"/>
          <w:szCs w:val="24"/>
        </w:rPr>
        <w:t xml:space="preserve"> The odds of up taking IUCD immediately after delivery among women in the intervention group was about six times higher </w:t>
      </w:r>
      <w:r w:rsidRPr="00E541D7">
        <w:rPr>
          <w:rFonts w:ascii="Times New Roman" w:eastAsia="Times New Roman" w:hAnsi="Times New Roman" w:cs="Times New Roman"/>
          <w:i/>
          <w:sz w:val="24"/>
        </w:rPr>
        <w:t xml:space="preserve">(AOR: </w:t>
      </w:r>
      <w:r w:rsidRPr="00E541D7">
        <w:rPr>
          <w:rFonts w:ascii="Times New Roman" w:eastAsia="Times New Roman" w:hAnsi="Times New Roman" w:cs="Times New Roman"/>
          <w:i/>
          <w:sz w:val="24"/>
          <w:szCs w:val="24"/>
        </w:rPr>
        <w:t xml:space="preserve">5.92; </w:t>
      </w:r>
      <w:r w:rsidRPr="00E541D7">
        <w:rPr>
          <w:rFonts w:ascii="Times New Roman" w:eastAsia="Times New Roman" w:hAnsi="Times New Roman" w:cs="Times New Roman"/>
          <w:i/>
          <w:sz w:val="24"/>
          <w:szCs w:val="24"/>
          <w:shd w:val="clear" w:color="auto" w:fill="FFFFFF" w:themeFill="background1"/>
        </w:rPr>
        <w:t xml:space="preserve">95% CI: </w:t>
      </w:r>
      <w:r w:rsidRPr="00E541D7">
        <w:rPr>
          <w:rFonts w:ascii="Times New Roman" w:eastAsia="Times New Roman" w:hAnsi="Times New Roman" w:cs="Times New Roman"/>
          <w:i/>
          <w:sz w:val="24"/>
          <w:szCs w:val="24"/>
        </w:rPr>
        <w:t xml:space="preserve">2.79, 12.60) as compared to their counter parts. </w:t>
      </w:r>
      <w:r w:rsidRPr="00E541D7">
        <w:rPr>
          <w:rFonts w:ascii="Times New Roman" w:eastAsia="Times New Roman" w:hAnsi="Times New Roman" w:cs="Times New Roman"/>
          <w:i/>
          <w:sz w:val="24"/>
        </w:rPr>
        <w:t xml:space="preserve">Being unmarried women </w:t>
      </w:r>
      <w:r w:rsidRPr="00E541D7">
        <w:rPr>
          <w:rFonts w:ascii="Times New Roman" w:eastAsia="Times New Roman" w:hAnsi="Times New Roman" w:cs="Times New Roman"/>
          <w:i/>
          <w:sz w:val="24"/>
          <w:szCs w:val="24"/>
        </w:rPr>
        <w:t>(</w:t>
      </w:r>
      <w:r w:rsidRPr="00E541D7">
        <w:rPr>
          <w:rFonts w:ascii="Times New Roman" w:eastAsia="Times New Roman" w:hAnsi="Times New Roman" w:cs="Times New Roman"/>
          <w:i/>
          <w:sz w:val="24"/>
          <w:szCs w:val="24"/>
          <w:shd w:val="clear" w:color="auto" w:fill="FFFFFF" w:themeFill="background1"/>
        </w:rPr>
        <w:t xml:space="preserve">AOR: </w:t>
      </w:r>
      <w:r w:rsidRPr="00E541D7">
        <w:rPr>
          <w:rFonts w:ascii="Times New Roman" w:eastAsia="Times New Roman" w:hAnsi="Times New Roman" w:cs="Times New Roman"/>
          <w:i/>
          <w:sz w:val="24"/>
          <w:szCs w:val="24"/>
        </w:rPr>
        <w:t xml:space="preserve">12.96; </w:t>
      </w:r>
      <w:r w:rsidRPr="00E541D7">
        <w:rPr>
          <w:rFonts w:ascii="Times New Roman" w:eastAsia="Times New Roman" w:hAnsi="Times New Roman" w:cs="Times New Roman"/>
          <w:i/>
          <w:sz w:val="24"/>
          <w:szCs w:val="24"/>
          <w:shd w:val="clear" w:color="auto" w:fill="FFFFFF" w:themeFill="background1"/>
        </w:rPr>
        <w:t xml:space="preserve">95% CI: </w:t>
      </w:r>
      <w:r w:rsidRPr="00E541D7">
        <w:rPr>
          <w:rFonts w:ascii="Times New Roman" w:eastAsia="Times New Roman" w:hAnsi="Times New Roman" w:cs="Times New Roman"/>
          <w:i/>
          <w:sz w:val="24"/>
          <w:szCs w:val="24"/>
        </w:rPr>
        <w:t>4.30, 34.56), higher education level (</w:t>
      </w:r>
      <w:r w:rsidRPr="00E541D7">
        <w:rPr>
          <w:rFonts w:ascii="Times New Roman" w:eastAsia="Times New Roman" w:hAnsi="Times New Roman" w:cs="Times New Roman"/>
          <w:i/>
          <w:sz w:val="24"/>
          <w:szCs w:val="24"/>
          <w:shd w:val="clear" w:color="auto" w:fill="FFFFFF" w:themeFill="background1"/>
        </w:rPr>
        <w:t xml:space="preserve">AOR: </w:t>
      </w:r>
      <w:r w:rsidRPr="00E541D7">
        <w:rPr>
          <w:rFonts w:ascii="Times New Roman" w:eastAsia="Times New Roman" w:hAnsi="Times New Roman" w:cs="Times New Roman"/>
          <w:i/>
          <w:sz w:val="24"/>
          <w:szCs w:val="24"/>
        </w:rPr>
        <w:t xml:space="preserve">3.07; </w:t>
      </w:r>
      <w:r w:rsidRPr="00E541D7">
        <w:rPr>
          <w:rFonts w:ascii="Times New Roman" w:eastAsia="Times New Roman" w:hAnsi="Times New Roman" w:cs="Times New Roman"/>
          <w:i/>
          <w:sz w:val="24"/>
          <w:szCs w:val="24"/>
          <w:shd w:val="clear" w:color="auto" w:fill="FFFFFF" w:themeFill="background1"/>
        </w:rPr>
        <w:t xml:space="preserve">95% CI: </w:t>
      </w:r>
      <w:r w:rsidRPr="00E541D7">
        <w:rPr>
          <w:rFonts w:ascii="Times New Roman" w:eastAsia="Times New Roman" w:hAnsi="Times New Roman" w:cs="Times New Roman"/>
          <w:i/>
          <w:sz w:val="24"/>
          <w:szCs w:val="24"/>
        </w:rPr>
        <w:t>1.13, 8.36), grand multi-Para (</w:t>
      </w:r>
      <w:r w:rsidRPr="00E541D7">
        <w:rPr>
          <w:rFonts w:ascii="Times New Roman" w:eastAsia="Times New Roman" w:hAnsi="Times New Roman" w:cs="Times New Roman"/>
          <w:i/>
          <w:sz w:val="24"/>
          <w:szCs w:val="24"/>
          <w:shd w:val="clear" w:color="auto" w:fill="FFFFFF" w:themeFill="background1"/>
        </w:rPr>
        <w:t xml:space="preserve">AOR: </w:t>
      </w:r>
      <w:r w:rsidRPr="00E541D7">
        <w:rPr>
          <w:rFonts w:ascii="Times New Roman" w:eastAsia="Times New Roman" w:hAnsi="Times New Roman" w:cs="Times New Roman"/>
          <w:i/>
          <w:sz w:val="24"/>
          <w:szCs w:val="24"/>
        </w:rPr>
        <w:t xml:space="preserve">3.76; </w:t>
      </w:r>
      <w:r w:rsidRPr="00E541D7">
        <w:rPr>
          <w:rFonts w:ascii="Times New Roman" w:eastAsia="Times New Roman" w:hAnsi="Times New Roman" w:cs="Times New Roman"/>
          <w:i/>
          <w:sz w:val="24"/>
          <w:szCs w:val="24"/>
          <w:shd w:val="clear" w:color="auto" w:fill="FFFFFF" w:themeFill="background1"/>
        </w:rPr>
        <w:t xml:space="preserve">95% CI: </w:t>
      </w:r>
      <w:r w:rsidRPr="00E541D7">
        <w:rPr>
          <w:rFonts w:ascii="Times New Roman" w:eastAsia="Times New Roman" w:hAnsi="Times New Roman" w:cs="Times New Roman"/>
          <w:i/>
          <w:sz w:val="24"/>
          <w:szCs w:val="24"/>
        </w:rPr>
        <w:t>1.58, 8.95), husband decision for family planning (</w:t>
      </w:r>
      <w:r w:rsidRPr="00E541D7">
        <w:rPr>
          <w:rFonts w:ascii="Times New Roman" w:eastAsia="Times New Roman" w:hAnsi="Times New Roman" w:cs="Times New Roman"/>
          <w:i/>
          <w:sz w:val="24"/>
          <w:szCs w:val="24"/>
          <w:shd w:val="clear" w:color="auto" w:fill="FFFFFF" w:themeFill="background1"/>
        </w:rPr>
        <w:t xml:space="preserve">AOR: </w:t>
      </w:r>
      <w:r w:rsidRPr="00E541D7">
        <w:rPr>
          <w:rFonts w:ascii="Times New Roman" w:eastAsia="Times New Roman" w:hAnsi="Times New Roman" w:cs="Times New Roman"/>
          <w:i/>
          <w:sz w:val="24"/>
          <w:szCs w:val="24"/>
        </w:rPr>
        <w:t xml:space="preserve">0.16, </w:t>
      </w:r>
      <w:r w:rsidRPr="00E541D7">
        <w:rPr>
          <w:rFonts w:ascii="Times New Roman" w:eastAsia="Times New Roman" w:hAnsi="Times New Roman" w:cs="Times New Roman"/>
          <w:i/>
          <w:sz w:val="24"/>
          <w:szCs w:val="24"/>
          <w:shd w:val="clear" w:color="auto" w:fill="FFFFFF" w:themeFill="background1"/>
        </w:rPr>
        <w:t xml:space="preserve">95% CI: </w:t>
      </w:r>
      <w:r w:rsidRPr="00E541D7">
        <w:rPr>
          <w:rFonts w:ascii="Times New Roman" w:eastAsia="Times New Roman" w:hAnsi="Times New Roman" w:cs="Times New Roman"/>
          <w:i/>
          <w:sz w:val="24"/>
          <w:szCs w:val="24"/>
        </w:rPr>
        <w:t xml:space="preserve">0.07, 0.38) and higher level of knowledge on family </w:t>
      </w:r>
      <w:proofErr w:type="gramStart"/>
      <w:r w:rsidRPr="00E541D7">
        <w:rPr>
          <w:rFonts w:ascii="Times New Roman" w:eastAsia="Times New Roman" w:hAnsi="Times New Roman" w:cs="Times New Roman"/>
          <w:i/>
          <w:sz w:val="24"/>
          <w:szCs w:val="24"/>
        </w:rPr>
        <w:t>planning  (</w:t>
      </w:r>
      <w:proofErr w:type="gramEnd"/>
      <w:r w:rsidRPr="00E541D7">
        <w:rPr>
          <w:rFonts w:ascii="Times New Roman" w:eastAsia="Times New Roman" w:hAnsi="Times New Roman" w:cs="Times New Roman"/>
          <w:i/>
          <w:sz w:val="24"/>
          <w:szCs w:val="24"/>
          <w:shd w:val="clear" w:color="auto" w:fill="FFFFFF" w:themeFill="background1"/>
        </w:rPr>
        <w:t xml:space="preserve">AOR: </w:t>
      </w:r>
      <w:r w:rsidRPr="00E541D7">
        <w:rPr>
          <w:rFonts w:ascii="Times New Roman" w:eastAsia="Times New Roman" w:hAnsi="Times New Roman" w:cs="Times New Roman"/>
          <w:i/>
          <w:sz w:val="24"/>
          <w:szCs w:val="24"/>
        </w:rPr>
        <w:t xml:space="preserve">5.92, </w:t>
      </w:r>
      <w:r w:rsidRPr="00E541D7">
        <w:rPr>
          <w:rFonts w:ascii="Times New Roman" w:eastAsia="Times New Roman" w:hAnsi="Times New Roman" w:cs="Times New Roman"/>
          <w:i/>
          <w:sz w:val="24"/>
          <w:szCs w:val="24"/>
          <w:shd w:val="clear" w:color="auto" w:fill="FFFFFF" w:themeFill="background1"/>
        </w:rPr>
        <w:t xml:space="preserve">95% CI: </w:t>
      </w:r>
      <w:r w:rsidRPr="00E541D7">
        <w:rPr>
          <w:rFonts w:ascii="Times New Roman" w:eastAsia="Times New Roman" w:hAnsi="Times New Roman" w:cs="Times New Roman"/>
          <w:i/>
          <w:sz w:val="24"/>
          <w:szCs w:val="24"/>
        </w:rPr>
        <w:t xml:space="preserve">2.79, 12.60) were other factors associated with the uptake. </w:t>
      </w:r>
    </w:p>
    <w:p w:rsidR="00E541D7" w:rsidRPr="00E541D7" w:rsidRDefault="00E541D7" w:rsidP="00E541D7">
      <w:pPr>
        <w:spacing w:before="240" w:after="0"/>
        <w:jc w:val="both"/>
        <w:rPr>
          <w:rFonts w:ascii="Times New Roman" w:eastAsia="Times New Roman" w:hAnsi="Times New Roman" w:cs="Times New Roman"/>
          <w:i/>
          <w:sz w:val="24"/>
          <w:szCs w:val="24"/>
        </w:rPr>
      </w:pPr>
      <w:r w:rsidRPr="00E541D7">
        <w:rPr>
          <w:rFonts w:ascii="Times New Roman" w:eastAsia="Times New Roman" w:hAnsi="Times New Roman" w:cs="Times New Roman"/>
          <w:b/>
          <w:i/>
          <w:sz w:val="24"/>
          <w:szCs w:val="24"/>
        </w:rPr>
        <w:t xml:space="preserve">Conclusion and recommendation: </w:t>
      </w:r>
      <w:r w:rsidRPr="00E541D7">
        <w:rPr>
          <w:rFonts w:ascii="Times New Roman" w:eastAsia="Times New Roman" w:hAnsi="Times New Roman" w:cs="Times New Roman"/>
          <w:i/>
          <w:sz w:val="24"/>
          <w:szCs w:val="24"/>
        </w:rPr>
        <w:t>Providing focused post-partum family planning counseling using cue card which is designed based on health belief model increased immediate post-partum IUCD uptake. Other factors independently associated with the IUCD uptake include being u</w:t>
      </w:r>
      <w:r w:rsidRPr="00E541D7">
        <w:rPr>
          <w:rFonts w:ascii="Times New Roman" w:eastAsia="Times New Roman" w:hAnsi="Times New Roman" w:cs="Times New Roman"/>
          <w:i/>
          <w:sz w:val="24"/>
        </w:rPr>
        <w:t xml:space="preserve">nmarried, </w:t>
      </w:r>
      <w:r w:rsidRPr="00E541D7">
        <w:rPr>
          <w:rFonts w:ascii="Times New Roman" w:eastAsia="Times New Roman" w:hAnsi="Times New Roman" w:cs="Times New Roman"/>
          <w:i/>
          <w:sz w:val="24"/>
          <w:szCs w:val="24"/>
        </w:rPr>
        <w:t xml:space="preserve">higher education level, grand multi-parity, husband decision and having adequate </w:t>
      </w:r>
      <w:r w:rsidRPr="00E541D7">
        <w:rPr>
          <w:rFonts w:ascii="Times New Roman" w:eastAsia="Times New Roman" w:hAnsi="Times New Roman" w:cs="Times New Roman"/>
          <w:i/>
          <w:sz w:val="24"/>
          <w:szCs w:val="24"/>
        </w:rPr>
        <w:lastRenderedPageBreak/>
        <w:t>knowledge on family planning.</w:t>
      </w:r>
      <w:r w:rsidRPr="00E541D7">
        <w:rPr>
          <w:rFonts w:ascii="Times New Roman" w:eastAsia="Times New Roman" w:hAnsi="Times New Roman" w:cs="Times New Roman"/>
          <w:b/>
          <w:i/>
          <w:sz w:val="24"/>
          <w:szCs w:val="24"/>
        </w:rPr>
        <w:t xml:space="preserve"> </w:t>
      </w:r>
      <w:r w:rsidRPr="00E541D7">
        <w:rPr>
          <w:rFonts w:ascii="Times New Roman" w:eastAsia="Times New Roman" w:hAnsi="Times New Roman" w:cs="Times New Roman"/>
          <w:i/>
          <w:sz w:val="24"/>
          <w:szCs w:val="24"/>
        </w:rPr>
        <w:t>Hence, we recommend use of focused postpartum counseling tool to increase IUCD uptake.</w:t>
      </w:r>
    </w:p>
    <w:p w:rsidR="00E541D7" w:rsidRPr="00E541D7" w:rsidRDefault="00E541D7" w:rsidP="00E541D7">
      <w:pPr>
        <w:spacing w:before="240" w:after="0"/>
        <w:jc w:val="both"/>
        <w:rPr>
          <w:rFonts w:ascii="Times New Roman" w:eastAsia="Times New Roman" w:hAnsi="Times New Roman" w:cs="Times New Roman"/>
          <w:i/>
          <w:sz w:val="24"/>
          <w:szCs w:val="24"/>
        </w:rPr>
      </w:pPr>
      <w:r w:rsidRPr="00E541D7">
        <w:rPr>
          <w:rFonts w:ascii="Times New Roman" w:eastAsia="Times New Roman" w:hAnsi="Times New Roman" w:cs="Times New Roman"/>
          <w:b/>
          <w:i/>
          <w:sz w:val="24"/>
          <w:szCs w:val="24"/>
        </w:rPr>
        <w:t>Key words:</w:t>
      </w:r>
      <w:r w:rsidRPr="00E541D7">
        <w:rPr>
          <w:rFonts w:ascii="Times New Roman" w:eastAsia="Times New Roman" w:hAnsi="Times New Roman" w:cs="Times New Roman"/>
          <w:i/>
          <w:sz w:val="24"/>
          <w:szCs w:val="24"/>
        </w:rPr>
        <w:t xml:space="preserve"> IUCD, Quasi-experimental, Postpartum, Oromia</w:t>
      </w:r>
    </w:p>
    <w:p w:rsidR="00E541D7" w:rsidRPr="00E541D7" w:rsidRDefault="00E541D7" w:rsidP="00E541D7">
      <w:pPr>
        <w:keepNext/>
        <w:keepLines/>
        <w:spacing w:after="0" w:line="360" w:lineRule="auto"/>
        <w:jc w:val="center"/>
        <w:rPr>
          <w:rFonts w:ascii="Times New Roman" w:eastAsia="Times New Roman" w:hAnsi="Times New Roman" w:cs="Times New Roman"/>
          <w:b/>
          <w:bCs/>
          <w:sz w:val="24"/>
          <w:szCs w:val="24"/>
        </w:rPr>
      </w:pPr>
    </w:p>
    <w:p w:rsidR="001E4F7A" w:rsidRPr="00E541D7" w:rsidRDefault="001E4F7A"/>
    <w:sectPr w:rsidR="001E4F7A" w:rsidRPr="00E54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1D7"/>
    <w:rsid w:val="001E4F7A"/>
    <w:rsid w:val="00A73BCB"/>
    <w:rsid w:val="00E5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3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2825</Characters>
  <Application>Microsoft Office Word</Application>
  <DocSecurity>0</DocSecurity>
  <Lines>23</Lines>
  <Paragraphs>6</Paragraphs>
  <ScaleCrop>false</ScaleCrop>
  <Company>home</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Mulor</dc:creator>
  <cp:lastModifiedBy>Mulor</cp:lastModifiedBy>
  <cp:revision>1</cp:revision>
  <dcterms:created xsi:type="dcterms:W3CDTF">2018-10-18T18:25:00Z</dcterms:created>
  <dcterms:modified xsi:type="dcterms:W3CDTF">2018-10-18T18:26:00Z</dcterms:modified>
</cp:coreProperties>
</file>