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6F9" w:rsidRDefault="00F956F9" w:rsidP="00F956F9">
      <w:pPr>
        <w:autoSpaceDE w:val="0"/>
        <w:autoSpaceDN w:val="0"/>
        <w:adjustRightInd w:val="0"/>
        <w:spacing w:after="0" w:line="240" w:lineRule="auto"/>
        <w:rPr>
          <w:rFonts w:ascii="Arial Narrow,Bold" w:hAnsi="Arial Narrow,Bold" w:cs="Arial Narrow,Bold"/>
          <w:b/>
          <w:bCs/>
          <w:sz w:val="32"/>
          <w:szCs w:val="32"/>
        </w:rPr>
      </w:pPr>
      <w:proofErr w:type="spellStart"/>
      <w:r>
        <w:rPr>
          <w:rFonts w:ascii="Arial Narrow,Bold" w:hAnsi="Arial Narrow,Bold" w:cs="Arial Narrow,Bold"/>
          <w:b/>
          <w:bCs/>
          <w:sz w:val="32"/>
          <w:szCs w:val="32"/>
        </w:rPr>
        <w:t>Acadamic</w:t>
      </w:r>
      <w:proofErr w:type="spellEnd"/>
      <w:r>
        <w:rPr>
          <w:rFonts w:ascii="Arial Narrow,Bold" w:hAnsi="Arial Narrow,Bold" w:cs="Arial Narrow,Bold"/>
          <w:b/>
          <w:bCs/>
          <w:sz w:val="32"/>
          <w:szCs w:val="32"/>
        </w:rPr>
        <w:t xml:space="preserve"> Journals: </w:t>
      </w:r>
    </w:p>
    <w:p w:rsidR="00F956F9" w:rsidRDefault="00F956F9" w:rsidP="00F956F9">
      <w:pPr>
        <w:autoSpaceDE w:val="0"/>
        <w:autoSpaceDN w:val="0"/>
        <w:adjustRightInd w:val="0"/>
        <w:spacing w:after="0" w:line="240" w:lineRule="auto"/>
        <w:rPr>
          <w:rFonts w:ascii="Arial Narrow,Bold" w:hAnsi="Arial Narrow,Bold" w:cs="Arial Narrow,Bold"/>
          <w:b/>
          <w:bCs/>
          <w:sz w:val="32"/>
          <w:szCs w:val="32"/>
        </w:rPr>
      </w:pPr>
      <w:r>
        <w:rPr>
          <w:rFonts w:ascii="Arial Narrow,Bold" w:hAnsi="Arial Narrow,Bold" w:cs="Arial Narrow,Bold"/>
          <w:b/>
          <w:bCs/>
          <w:sz w:val="32"/>
          <w:szCs w:val="32"/>
        </w:rPr>
        <w:t>International Journal of Nursing and Midwifery</w:t>
      </w:r>
    </w:p>
    <w:p w:rsidR="00B900DD" w:rsidRDefault="00B900DD" w:rsidP="00F956F9">
      <w:pPr>
        <w:autoSpaceDE w:val="0"/>
        <w:autoSpaceDN w:val="0"/>
        <w:adjustRightInd w:val="0"/>
        <w:spacing w:after="0" w:line="240" w:lineRule="auto"/>
        <w:rPr>
          <w:rFonts w:ascii="Arial Narrow,Bold" w:hAnsi="Arial Narrow,Bold" w:cs="Arial Narrow,Bold"/>
          <w:b/>
          <w:bCs/>
          <w:sz w:val="32"/>
          <w:szCs w:val="32"/>
        </w:rPr>
      </w:pPr>
    </w:p>
    <w:p w:rsidR="00B900DD" w:rsidRDefault="00B900DD" w:rsidP="00B900DD">
      <w:pPr>
        <w:autoSpaceDE w:val="0"/>
        <w:autoSpaceDN w:val="0"/>
        <w:adjustRightInd w:val="0"/>
        <w:spacing w:after="0" w:line="240" w:lineRule="auto"/>
        <w:rPr>
          <w:rFonts w:ascii="Arial" w:hAnsi="Arial" w:cs="Arial"/>
          <w:b/>
          <w:bCs/>
          <w:sz w:val="24"/>
          <w:szCs w:val="24"/>
        </w:rPr>
      </w:pPr>
      <w:r>
        <w:rPr>
          <w:rFonts w:ascii="Arial" w:hAnsi="Arial" w:cs="Arial"/>
          <w:b/>
          <w:bCs/>
          <w:sz w:val="40"/>
          <w:szCs w:val="40"/>
        </w:rPr>
        <w:t xml:space="preserve">Unsafe abortion and associated factors among women in reproductive age group in </w:t>
      </w:r>
      <w:proofErr w:type="spellStart"/>
      <w:r>
        <w:rPr>
          <w:rFonts w:ascii="Arial" w:hAnsi="Arial" w:cs="Arial"/>
          <w:b/>
          <w:bCs/>
          <w:sz w:val="40"/>
          <w:szCs w:val="40"/>
        </w:rPr>
        <w:t>Arsi</w:t>
      </w:r>
      <w:proofErr w:type="spellEnd"/>
      <w:r>
        <w:rPr>
          <w:rFonts w:ascii="Arial" w:hAnsi="Arial" w:cs="Arial"/>
          <w:b/>
          <w:bCs/>
          <w:sz w:val="40"/>
          <w:szCs w:val="40"/>
        </w:rPr>
        <w:t xml:space="preserve"> Zone, Central Ethiopia</w:t>
      </w:r>
    </w:p>
    <w:p w:rsidR="00F956F9" w:rsidRDefault="00F956F9" w:rsidP="00F956F9">
      <w:pPr>
        <w:autoSpaceDE w:val="0"/>
        <w:autoSpaceDN w:val="0"/>
        <w:adjustRightInd w:val="0"/>
        <w:spacing w:after="0" w:line="240" w:lineRule="auto"/>
        <w:rPr>
          <w:rFonts w:ascii="Arial" w:hAnsi="Arial" w:cs="Arial"/>
          <w:b/>
          <w:bCs/>
          <w:sz w:val="24"/>
          <w:szCs w:val="24"/>
        </w:rPr>
      </w:pPr>
    </w:p>
    <w:p w:rsidR="00F956F9" w:rsidRDefault="003653DB" w:rsidP="00F956F9">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 xml:space="preserve">Authors: </w:t>
      </w:r>
      <w:r w:rsidR="00F956F9">
        <w:rPr>
          <w:rFonts w:ascii="Arial" w:hAnsi="Arial" w:cs="Arial"/>
          <w:b/>
          <w:bCs/>
          <w:sz w:val="24"/>
          <w:szCs w:val="24"/>
        </w:rPr>
        <w:t xml:space="preserve">Legesse </w:t>
      </w:r>
      <w:proofErr w:type="spellStart"/>
      <w:r w:rsidR="00F956F9">
        <w:rPr>
          <w:rFonts w:ascii="Arial" w:hAnsi="Arial" w:cs="Arial"/>
          <w:b/>
          <w:bCs/>
          <w:sz w:val="24"/>
          <w:szCs w:val="24"/>
        </w:rPr>
        <w:t>Tadesse</w:t>
      </w:r>
      <w:proofErr w:type="spellEnd"/>
      <w:r w:rsidR="00F956F9">
        <w:rPr>
          <w:rFonts w:ascii="Arial" w:hAnsi="Arial" w:cs="Arial"/>
          <w:b/>
          <w:bCs/>
          <w:sz w:val="24"/>
          <w:szCs w:val="24"/>
        </w:rPr>
        <w:t xml:space="preserve"> </w:t>
      </w:r>
      <w:proofErr w:type="spellStart"/>
      <w:r w:rsidR="00F956F9">
        <w:rPr>
          <w:rFonts w:ascii="Arial" w:hAnsi="Arial" w:cs="Arial"/>
          <w:b/>
          <w:bCs/>
          <w:sz w:val="24"/>
          <w:szCs w:val="24"/>
        </w:rPr>
        <w:t>Wodajo</w:t>
      </w:r>
      <w:proofErr w:type="spellEnd"/>
      <w:r w:rsidR="00F956F9">
        <w:rPr>
          <w:rFonts w:ascii="Arial" w:hAnsi="Arial" w:cs="Arial"/>
          <w:b/>
          <w:bCs/>
          <w:sz w:val="24"/>
          <w:szCs w:val="24"/>
        </w:rPr>
        <w:t xml:space="preserve">*, Solomon </w:t>
      </w:r>
      <w:proofErr w:type="spellStart"/>
      <w:r w:rsidR="00F956F9">
        <w:rPr>
          <w:rFonts w:ascii="Arial" w:hAnsi="Arial" w:cs="Arial"/>
          <w:b/>
          <w:bCs/>
          <w:sz w:val="24"/>
          <w:szCs w:val="24"/>
        </w:rPr>
        <w:t>Tejineh</w:t>
      </w:r>
      <w:proofErr w:type="spellEnd"/>
      <w:r w:rsidR="00F956F9">
        <w:rPr>
          <w:rFonts w:ascii="Arial" w:hAnsi="Arial" w:cs="Arial"/>
          <w:b/>
          <w:bCs/>
          <w:sz w:val="24"/>
          <w:szCs w:val="24"/>
        </w:rPr>
        <w:t xml:space="preserve"> </w:t>
      </w:r>
      <w:proofErr w:type="spellStart"/>
      <w:r w:rsidR="00F956F9">
        <w:rPr>
          <w:rFonts w:ascii="Arial" w:hAnsi="Arial" w:cs="Arial"/>
          <w:b/>
          <w:bCs/>
          <w:sz w:val="24"/>
          <w:szCs w:val="24"/>
        </w:rPr>
        <w:t>Mengesha</w:t>
      </w:r>
      <w:proofErr w:type="spellEnd"/>
      <w:r w:rsidR="00F956F9">
        <w:rPr>
          <w:rFonts w:ascii="Arial" w:hAnsi="Arial" w:cs="Arial"/>
          <w:b/>
          <w:bCs/>
          <w:sz w:val="24"/>
          <w:szCs w:val="24"/>
        </w:rPr>
        <w:t xml:space="preserve"> and Teresa Kisi </w:t>
      </w:r>
      <w:proofErr w:type="spellStart"/>
      <w:r w:rsidR="00F956F9">
        <w:rPr>
          <w:rFonts w:ascii="Arial" w:hAnsi="Arial" w:cs="Arial"/>
          <w:b/>
          <w:bCs/>
          <w:sz w:val="24"/>
          <w:szCs w:val="24"/>
        </w:rPr>
        <w:t>Beyen</w:t>
      </w:r>
      <w:proofErr w:type="spellEnd"/>
    </w:p>
    <w:p w:rsidR="00F956F9" w:rsidRDefault="00F956F9" w:rsidP="00F956F9">
      <w:pPr>
        <w:autoSpaceDE w:val="0"/>
        <w:autoSpaceDN w:val="0"/>
        <w:adjustRightInd w:val="0"/>
        <w:spacing w:after="0" w:line="240" w:lineRule="auto"/>
        <w:rPr>
          <w:rFonts w:ascii="Arial" w:hAnsi="Arial" w:cs="Arial"/>
          <w:sz w:val="20"/>
          <w:szCs w:val="20"/>
        </w:rPr>
      </w:pPr>
    </w:p>
    <w:p w:rsidR="00F956F9" w:rsidRDefault="00F956F9" w:rsidP="00D338BA">
      <w:pPr>
        <w:autoSpaceDE w:val="0"/>
        <w:autoSpaceDN w:val="0"/>
        <w:adjustRightInd w:val="0"/>
        <w:spacing w:after="0" w:line="240" w:lineRule="auto"/>
        <w:rPr>
          <w:rFonts w:ascii="Arial" w:hAnsi="Arial" w:cs="Arial"/>
          <w:b/>
          <w:bCs/>
          <w:sz w:val="28"/>
          <w:szCs w:val="20"/>
        </w:rPr>
      </w:pPr>
      <w:r>
        <w:rPr>
          <w:rFonts w:ascii="Arial" w:hAnsi="Arial" w:cs="Arial"/>
          <w:sz w:val="20"/>
          <w:szCs w:val="20"/>
        </w:rPr>
        <w:t xml:space="preserve">Department of Public Health, College of Health Sciences, </w:t>
      </w:r>
      <w:proofErr w:type="spellStart"/>
      <w:r>
        <w:rPr>
          <w:rFonts w:ascii="Arial" w:hAnsi="Arial" w:cs="Arial"/>
          <w:sz w:val="20"/>
          <w:szCs w:val="20"/>
        </w:rPr>
        <w:t>Arsi</w:t>
      </w:r>
      <w:proofErr w:type="spellEnd"/>
      <w:r>
        <w:rPr>
          <w:rFonts w:ascii="Arial" w:hAnsi="Arial" w:cs="Arial"/>
          <w:sz w:val="20"/>
          <w:szCs w:val="20"/>
        </w:rPr>
        <w:t xml:space="preserve"> University, Ethiopia.</w:t>
      </w:r>
    </w:p>
    <w:p w:rsidR="00F956F9" w:rsidRDefault="00F956F9" w:rsidP="00D338BA">
      <w:pPr>
        <w:autoSpaceDE w:val="0"/>
        <w:autoSpaceDN w:val="0"/>
        <w:adjustRightInd w:val="0"/>
        <w:spacing w:after="0" w:line="240" w:lineRule="auto"/>
        <w:rPr>
          <w:rFonts w:ascii="Arial" w:hAnsi="Arial" w:cs="Arial"/>
          <w:b/>
          <w:bCs/>
          <w:sz w:val="28"/>
          <w:szCs w:val="20"/>
        </w:rPr>
      </w:pPr>
    </w:p>
    <w:p w:rsidR="00D338BA" w:rsidRPr="00D338BA" w:rsidRDefault="00D338BA" w:rsidP="00D338BA">
      <w:pPr>
        <w:autoSpaceDE w:val="0"/>
        <w:autoSpaceDN w:val="0"/>
        <w:adjustRightInd w:val="0"/>
        <w:spacing w:after="0" w:line="240" w:lineRule="auto"/>
        <w:rPr>
          <w:rFonts w:ascii="Arial" w:hAnsi="Arial" w:cs="Arial"/>
          <w:b/>
          <w:bCs/>
          <w:sz w:val="28"/>
          <w:szCs w:val="20"/>
        </w:rPr>
      </w:pPr>
      <w:r w:rsidRPr="00D338BA">
        <w:rPr>
          <w:rFonts w:ascii="Arial" w:hAnsi="Arial" w:cs="Arial"/>
          <w:b/>
          <w:bCs/>
          <w:sz w:val="28"/>
          <w:szCs w:val="20"/>
        </w:rPr>
        <w:t>Abstract</w:t>
      </w:r>
    </w:p>
    <w:p w:rsidR="00D338BA" w:rsidRPr="00D338BA" w:rsidRDefault="00D338BA" w:rsidP="00DB1DFD">
      <w:pPr>
        <w:autoSpaceDE w:val="0"/>
        <w:autoSpaceDN w:val="0"/>
        <w:adjustRightInd w:val="0"/>
        <w:spacing w:after="0" w:line="240" w:lineRule="auto"/>
        <w:jc w:val="both"/>
        <w:rPr>
          <w:rFonts w:ascii="Arial" w:hAnsi="Arial" w:cs="Arial"/>
          <w:b/>
          <w:bCs/>
          <w:sz w:val="24"/>
          <w:szCs w:val="20"/>
        </w:rPr>
      </w:pPr>
      <w:r w:rsidRPr="00D338BA">
        <w:rPr>
          <w:rFonts w:ascii="Arial" w:hAnsi="Arial" w:cs="Arial"/>
          <w:b/>
          <w:bCs/>
          <w:sz w:val="24"/>
          <w:szCs w:val="20"/>
        </w:rPr>
        <w:t xml:space="preserve"> Unsafe abortion is one of the major medical and public health problems in developing countries</w:t>
      </w:r>
      <w:r>
        <w:rPr>
          <w:rFonts w:ascii="Arial" w:hAnsi="Arial" w:cs="Arial"/>
          <w:b/>
          <w:bCs/>
          <w:sz w:val="24"/>
          <w:szCs w:val="20"/>
        </w:rPr>
        <w:t xml:space="preserve"> </w:t>
      </w:r>
      <w:r w:rsidRPr="00D338BA">
        <w:rPr>
          <w:rFonts w:ascii="Arial" w:hAnsi="Arial" w:cs="Arial"/>
          <w:b/>
          <w:bCs/>
          <w:sz w:val="24"/>
          <w:szCs w:val="20"/>
        </w:rPr>
        <w:t>including Ethiopia. Yet, there is no reliable information on induced abortion distribution and its</w:t>
      </w:r>
      <w:r>
        <w:rPr>
          <w:rFonts w:ascii="Arial" w:hAnsi="Arial" w:cs="Arial"/>
          <w:b/>
          <w:bCs/>
          <w:sz w:val="24"/>
          <w:szCs w:val="20"/>
        </w:rPr>
        <w:t xml:space="preserve"> </w:t>
      </w:r>
      <w:r w:rsidRPr="00D338BA">
        <w:rPr>
          <w:rFonts w:ascii="Arial" w:hAnsi="Arial" w:cs="Arial"/>
          <w:b/>
          <w:bCs/>
          <w:sz w:val="24"/>
          <w:szCs w:val="20"/>
        </w:rPr>
        <w:t xml:space="preserve">determinant factors in the country. </w:t>
      </w:r>
    </w:p>
    <w:p w:rsidR="00D338BA" w:rsidRDefault="00D338BA" w:rsidP="00D338BA">
      <w:pPr>
        <w:autoSpaceDE w:val="0"/>
        <w:autoSpaceDN w:val="0"/>
        <w:adjustRightInd w:val="0"/>
        <w:spacing w:after="0" w:line="240" w:lineRule="auto"/>
        <w:rPr>
          <w:rFonts w:ascii="Arial" w:hAnsi="Arial" w:cs="Arial"/>
          <w:b/>
          <w:bCs/>
          <w:sz w:val="20"/>
          <w:szCs w:val="20"/>
        </w:rPr>
      </w:pPr>
    </w:p>
    <w:p w:rsidR="00D338BA" w:rsidRPr="00D338BA" w:rsidRDefault="00D338BA" w:rsidP="00D338BA">
      <w:pPr>
        <w:autoSpaceDE w:val="0"/>
        <w:autoSpaceDN w:val="0"/>
        <w:adjustRightInd w:val="0"/>
        <w:spacing w:after="0" w:line="240" w:lineRule="auto"/>
        <w:rPr>
          <w:rFonts w:ascii="Arial" w:hAnsi="Arial" w:cs="Arial"/>
          <w:b/>
          <w:bCs/>
          <w:sz w:val="28"/>
          <w:szCs w:val="20"/>
        </w:rPr>
      </w:pPr>
      <w:r w:rsidRPr="00D338BA">
        <w:rPr>
          <w:rFonts w:ascii="Arial" w:hAnsi="Arial" w:cs="Arial"/>
          <w:b/>
          <w:bCs/>
          <w:sz w:val="28"/>
          <w:szCs w:val="20"/>
        </w:rPr>
        <w:t>Objective:</w:t>
      </w:r>
    </w:p>
    <w:p w:rsidR="00D338BA" w:rsidRPr="00D338BA" w:rsidRDefault="00D338BA" w:rsidP="00D338BA">
      <w:pPr>
        <w:autoSpaceDE w:val="0"/>
        <w:autoSpaceDN w:val="0"/>
        <w:adjustRightInd w:val="0"/>
        <w:spacing w:after="0" w:line="240" w:lineRule="auto"/>
        <w:rPr>
          <w:rFonts w:ascii="Arial" w:hAnsi="Arial" w:cs="Arial"/>
          <w:b/>
          <w:bCs/>
          <w:sz w:val="24"/>
          <w:szCs w:val="20"/>
        </w:rPr>
      </w:pPr>
      <w:r w:rsidRPr="00D338BA">
        <w:rPr>
          <w:rFonts w:ascii="Arial" w:hAnsi="Arial" w:cs="Arial"/>
          <w:b/>
          <w:bCs/>
          <w:sz w:val="24"/>
          <w:szCs w:val="20"/>
        </w:rPr>
        <w:t xml:space="preserve">This study assesses the determinants of unsafe abortion among women of reproductive age group in </w:t>
      </w:r>
      <w:proofErr w:type="spellStart"/>
      <w:r w:rsidRPr="00D338BA">
        <w:rPr>
          <w:rFonts w:ascii="Arial" w:hAnsi="Arial" w:cs="Arial"/>
          <w:b/>
          <w:bCs/>
          <w:sz w:val="24"/>
          <w:szCs w:val="20"/>
        </w:rPr>
        <w:t>Arsi</w:t>
      </w:r>
      <w:proofErr w:type="spellEnd"/>
      <w:r w:rsidRPr="00D338BA">
        <w:rPr>
          <w:rFonts w:ascii="Arial" w:hAnsi="Arial" w:cs="Arial"/>
          <w:b/>
          <w:bCs/>
          <w:sz w:val="24"/>
          <w:szCs w:val="20"/>
        </w:rPr>
        <w:t xml:space="preserve"> Zone, Central Ethiopia.</w:t>
      </w:r>
    </w:p>
    <w:p w:rsidR="00D338BA" w:rsidRDefault="00D338BA" w:rsidP="00D338BA">
      <w:pPr>
        <w:autoSpaceDE w:val="0"/>
        <w:autoSpaceDN w:val="0"/>
        <w:adjustRightInd w:val="0"/>
        <w:spacing w:after="0" w:line="240" w:lineRule="auto"/>
        <w:rPr>
          <w:rFonts w:ascii="Arial" w:hAnsi="Arial" w:cs="Arial"/>
          <w:b/>
          <w:bCs/>
          <w:sz w:val="20"/>
          <w:szCs w:val="20"/>
        </w:rPr>
      </w:pPr>
    </w:p>
    <w:p w:rsidR="00D338BA" w:rsidRPr="00D338BA" w:rsidRDefault="00D338BA" w:rsidP="00D338BA">
      <w:pPr>
        <w:autoSpaceDE w:val="0"/>
        <w:autoSpaceDN w:val="0"/>
        <w:adjustRightInd w:val="0"/>
        <w:spacing w:after="0" w:line="240" w:lineRule="auto"/>
        <w:rPr>
          <w:rFonts w:ascii="Arial" w:hAnsi="Arial" w:cs="Arial"/>
          <w:b/>
          <w:bCs/>
          <w:sz w:val="28"/>
          <w:szCs w:val="20"/>
        </w:rPr>
      </w:pPr>
      <w:r w:rsidRPr="00D338BA">
        <w:rPr>
          <w:rFonts w:ascii="Arial" w:hAnsi="Arial" w:cs="Arial"/>
          <w:b/>
          <w:bCs/>
          <w:sz w:val="28"/>
          <w:szCs w:val="20"/>
        </w:rPr>
        <w:t>Methods:</w:t>
      </w:r>
    </w:p>
    <w:p w:rsidR="00D338BA" w:rsidRPr="00D338BA" w:rsidRDefault="00D338BA" w:rsidP="00DB1DFD">
      <w:pPr>
        <w:autoSpaceDE w:val="0"/>
        <w:autoSpaceDN w:val="0"/>
        <w:adjustRightInd w:val="0"/>
        <w:spacing w:after="0" w:line="240" w:lineRule="auto"/>
        <w:jc w:val="both"/>
        <w:rPr>
          <w:rFonts w:ascii="Arial" w:hAnsi="Arial" w:cs="Arial"/>
          <w:b/>
          <w:bCs/>
          <w:sz w:val="24"/>
          <w:szCs w:val="20"/>
        </w:rPr>
      </w:pPr>
      <w:r w:rsidRPr="00D338BA">
        <w:rPr>
          <w:rFonts w:ascii="Arial" w:hAnsi="Arial" w:cs="Arial"/>
          <w:b/>
          <w:bCs/>
          <w:sz w:val="24"/>
          <w:szCs w:val="20"/>
        </w:rPr>
        <w:t xml:space="preserve"> Institution based cross-sectional study was conducted in four health facilities in </w:t>
      </w:r>
      <w:proofErr w:type="spellStart"/>
      <w:r w:rsidRPr="00D338BA">
        <w:rPr>
          <w:rFonts w:ascii="Arial" w:hAnsi="Arial" w:cs="Arial"/>
          <w:b/>
          <w:bCs/>
          <w:sz w:val="24"/>
          <w:szCs w:val="20"/>
        </w:rPr>
        <w:t>Arsi</w:t>
      </w:r>
      <w:proofErr w:type="spellEnd"/>
      <w:r w:rsidRPr="00D338BA">
        <w:rPr>
          <w:rFonts w:ascii="Arial" w:hAnsi="Arial" w:cs="Arial"/>
          <w:b/>
          <w:bCs/>
          <w:sz w:val="24"/>
          <w:szCs w:val="20"/>
        </w:rPr>
        <w:t xml:space="preserve"> zone. Client exit interview was conducted on 268 patients using a structured questionnaire and semi-structured guide for in-depth interview with key informants. Bivariate and multivariate logistic regression analyses were performed to identify the factors associated with unsafe abortion. Thematic analysis was done in this study. For variables having association in bivariate logistic regression, multivariate logistic regression test was employed. </w:t>
      </w:r>
    </w:p>
    <w:p w:rsidR="00D338BA" w:rsidRDefault="00D338BA" w:rsidP="00D338BA">
      <w:pPr>
        <w:autoSpaceDE w:val="0"/>
        <w:autoSpaceDN w:val="0"/>
        <w:adjustRightInd w:val="0"/>
        <w:spacing w:after="0" w:line="240" w:lineRule="auto"/>
        <w:rPr>
          <w:rFonts w:ascii="Arial" w:hAnsi="Arial" w:cs="Arial"/>
          <w:b/>
          <w:bCs/>
          <w:sz w:val="20"/>
          <w:szCs w:val="20"/>
        </w:rPr>
      </w:pPr>
    </w:p>
    <w:p w:rsidR="00D338BA" w:rsidRPr="00D338BA" w:rsidRDefault="00D338BA" w:rsidP="00D338BA">
      <w:pPr>
        <w:autoSpaceDE w:val="0"/>
        <w:autoSpaceDN w:val="0"/>
        <w:adjustRightInd w:val="0"/>
        <w:spacing w:after="0" w:line="240" w:lineRule="auto"/>
        <w:rPr>
          <w:rFonts w:ascii="Arial" w:hAnsi="Arial" w:cs="Arial"/>
          <w:b/>
          <w:bCs/>
          <w:sz w:val="28"/>
          <w:szCs w:val="20"/>
        </w:rPr>
      </w:pPr>
      <w:r w:rsidRPr="00D338BA">
        <w:rPr>
          <w:rFonts w:ascii="Arial" w:hAnsi="Arial" w:cs="Arial"/>
          <w:b/>
          <w:bCs/>
          <w:sz w:val="28"/>
          <w:szCs w:val="20"/>
        </w:rPr>
        <w:t>Results:</w:t>
      </w:r>
    </w:p>
    <w:p w:rsidR="00D177F5" w:rsidRDefault="00D338BA" w:rsidP="00DB1DFD">
      <w:pPr>
        <w:autoSpaceDE w:val="0"/>
        <w:autoSpaceDN w:val="0"/>
        <w:adjustRightInd w:val="0"/>
        <w:spacing w:after="0" w:line="240" w:lineRule="auto"/>
        <w:jc w:val="both"/>
        <w:rPr>
          <w:rFonts w:ascii="Arial" w:hAnsi="Arial" w:cs="Arial"/>
          <w:b/>
          <w:bCs/>
          <w:sz w:val="24"/>
          <w:szCs w:val="20"/>
        </w:rPr>
      </w:pPr>
      <w:r w:rsidRPr="00D338BA">
        <w:rPr>
          <w:rFonts w:ascii="Arial" w:hAnsi="Arial" w:cs="Arial"/>
          <w:b/>
          <w:bCs/>
          <w:sz w:val="24"/>
          <w:szCs w:val="20"/>
        </w:rPr>
        <w:t>About 115 (42.9%) underwent unsafe abortion; they were about 15 to 19 years (AOR= 12.5; 95% CI: 3.24</w:t>
      </w:r>
      <w:bookmarkStart w:id="0" w:name="_GoBack"/>
      <w:bookmarkEnd w:id="0"/>
      <w:r w:rsidRPr="00D338BA">
        <w:rPr>
          <w:rFonts w:ascii="Arial" w:hAnsi="Arial" w:cs="Arial"/>
          <w:b/>
          <w:bCs/>
          <w:sz w:val="24"/>
          <w:szCs w:val="20"/>
        </w:rPr>
        <w:t xml:space="preserve">, 48.3), 20 to 24 years (AOR= 3.98; 95% CI: 1.27, 12.4) and had no formal education (AOR= 4.3; 95% CI: 1.67, 11.14). </w:t>
      </w:r>
    </w:p>
    <w:p w:rsidR="00D177F5" w:rsidRDefault="00D177F5" w:rsidP="00DB1DFD">
      <w:pPr>
        <w:autoSpaceDE w:val="0"/>
        <w:autoSpaceDN w:val="0"/>
        <w:adjustRightInd w:val="0"/>
        <w:spacing w:after="0" w:line="240" w:lineRule="auto"/>
        <w:jc w:val="both"/>
        <w:rPr>
          <w:rFonts w:ascii="Arial" w:hAnsi="Arial" w:cs="Arial"/>
          <w:b/>
          <w:bCs/>
          <w:sz w:val="24"/>
          <w:szCs w:val="20"/>
        </w:rPr>
      </w:pPr>
    </w:p>
    <w:p w:rsidR="00D177F5" w:rsidRPr="00D177F5" w:rsidRDefault="00D177F5" w:rsidP="00DB1DFD">
      <w:pPr>
        <w:autoSpaceDE w:val="0"/>
        <w:autoSpaceDN w:val="0"/>
        <w:adjustRightInd w:val="0"/>
        <w:spacing w:after="0" w:line="240" w:lineRule="auto"/>
        <w:jc w:val="both"/>
        <w:rPr>
          <w:rFonts w:ascii="Arial" w:hAnsi="Arial" w:cs="Arial"/>
          <w:b/>
          <w:bCs/>
          <w:sz w:val="28"/>
          <w:szCs w:val="20"/>
        </w:rPr>
      </w:pPr>
      <w:r w:rsidRPr="00D177F5">
        <w:rPr>
          <w:rFonts w:ascii="Arial" w:hAnsi="Arial" w:cs="Arial"/>
          <w:b/>
          <w:bCs/>
          <w:sz w:val="28"/>
          <w:szCs w:val="20"/>
        </w:rPr>
        <w:t>Conclusion and recommendations:</w:t>
      </w:r>
    </w:p>
    <w:p w:rsidR="00D338BA" w:rsidRPr="00D338BA" w:rsidRDefault="00D338BA" w:rsidP="00DB1DFD">
      <w:pPr>
        <w:autoSpaceDE w:val="0"/>
        <w:autoSpaceDN w:val="0"/>
        <w:adjustRightInd w:val="0"/>
        <w:spacing w:after="0" w:line="240" w:lineRule="auto"/>
        <w:jc w:val="both"/>
        <w:rPr>
          <w:rFonts w:ascii="Arial" w:hAnsi="Arial" w:cs="Arial"/>
          <w:b/>
          <w:bCs/>
          <w:sz w:val="24"/>
          <w:szCs w:val="20"/>
        </w:rPr>
      </w:pPr>
      <w:r w:rsidRPr="00D338BA">
        <w:rPr>
          <w:rFonts w:ascii="Arial" w:hAnsi="Arial" w:cs="Arial"/>
          <w:b/>
          <w:bCs/>
          <w:sz w:val="24"/>
          <w:szCs w:val="20"/>
        </w:rPr>
        <w:t>The study shows the high level of unsafe abortion to capture the attention of programmers and implementers to prevent unwanted pregnancy and make post abortion care accessible.</w:t>
      </w:r>
    </w:p>
    <w:p w:rsidR="00D338BA" w:rsidRDefault="00D338BA" w:rsidP="00D338BA">
      <w:pPr>
        <w:autoSpaceDE w:val="0"/>
        <w:autoSpaceDN w:val="0"/>
        <w:adjustRightInd w:val="0"/>
        <w:spacing w:after="0" w:line="240" w:lineRule="auto"/>
        <w:rPr>
          <w:rFonts w:ascii="Arial" w:hAnsi="Arial" w:cs="Arial"/>
          <w:b/>
          <w:bCs/>
          <w:sz w:val="20"/>
          <w:szCs w:val="20"/>
        </w:rPr>
      </w:pPr>
    </w:p>
    <w:p w:rsidR="00AA221A" w:rsidRDefault="00D338BA" w:rsidP="00D338BA">
      <w:pPr>
        <w:rPr>
          <w:rFonts w:ascii="Arial" w:hAnsi="Arial" w:cs="Arial"/>
          <w:sz w:val="24"/>
          <w:szCs w:val="20"/>
        </w:rPr>
      </w:pPr>
      <w:r w:rsidRPr="00D338BA">
        <w:rPr>
          <w:rFonts w:ascii="Arial" w:hAnsi="Arial" w:cs="Arial"/>
          <w:b/>
          <w:bCs/>
          <w:sz w:val="24"/>
          <w:szCs w:val="20"/>
        </w:rPr>
        <w:t>Key words</w:t>
      </w:r>
      <w:r w:rsidRPr="00D338BA">
        <w:rPr>
          <w:rFonts w:ascii="Arial" w:hAnsi="Arial" w:cs="Arial"/>
          <w:sz w:val="24"/>
          <w:szCs w:val="20"/>
        </w:rPr>
        <w:t xml:space="preserve">: Unsafe abortion, maternal health, </w:t>
      </w:r>
      <w:proofErr w:type="spellStart"/>
      <w:r w:rsidRPr="00D338BA">
        <w:rPr>
          <w:rFonts w:ascii="Arial" w:hAnsi="Arial" w:cs="Arial"/>
          <w:sz w:val="24"/>
          <w:szCs w:val="20"/>
        </w:rPr>
        <w:t>Arsi</w:t>
      </w:r>
      <w:proofErr w:type="spellEnd"/>
      <w:r w:rsidRPr="00D338BA">
        <w:rPr>
          <w:rFonts w:ascii="Arial" w:hAnsi="Arial" w:cs="Arial"/>
          <w:sz w:val="24"/>
          <w:szCs w:val="20"/>
        </w:rPr>
        <w:t>, Ethiopia.</w:t>
      </w:r>
    </w:p>
    <w:p w:rsidR="00A71825" w:rsidRDefault="00A71825" w:rsidP="00D338BA">
      <w:pPr>
        <w:rPr>
          <w:rFonts w:ascii="Arial" w:hAnsi="Arial" w:cs="Arial"/>
          <w:sz w:val="24"/>
          <w:szCs w:val="20"/>
        </w:rPr>
      </w:pPr>
    </w:p>
    <w:p w:rsidR="00D177F5" w:rsidRDefault="00D177F5" w:rsidP="00D338BA">
      <w:pPr>
        <w:rPr>
          <w:rFonts w:ascii="Arial" w:hAnsi="Arial" w:cs="Arial"/>
          <w:sz w:val="24"/>
          <w:szCs w:val="20"/>
        </w:rPr>
      </w:pPr>
    </w:p>
    <w:p w:rsidR="00D177F5" w:rsidRDefault="00D177F5" w:rsidP="00D338BA">
      <w:pPr>
        <w:rPr>
          <w:rFonts w:ascii="Arial" w:hAnsi="Arial" w:cs="Arial"/>
          <w:sz w:val="24"/>
          <w:szCs w:val="20"/>
        </w:rPr>
      </w:pPr>
    </w:p>
    <w:p w:rsidR="00A71825" w:rsidRPr="00A71825" w:rsidRDefault="00A71825" w:rsidP="00D338BA">
      <w:pPr>
        <w:rPr>
          <w:rFonts w:ascii="Arial" w:hAnsi="Arial" w:cs="Arial"/>
          <w:i/>
          <w:sz w:val="24"/>
          <w:szCs w:val="20"/>
        </w:rPr>
      </w:pPr>
      <w:r w:rsidRPr="00A71825">
        <w:rPr>
          <w:rFonts w:ascii="Arial" w:hAnsi="Arial" w:cs="Arial"/>
          <w:i/>
          <w:sz w:val="24"/>
          <w:szCs w:val="20"/>
        </w:rPr>
        <w:t xml:space="preserve">Remember: Full PDF available on </w:t>
      </w:r>
      <w:r>
        <w:rPr>
          <w:rFonts w:ascii="Arial" w:hAnsi="Arial" w:cs="Arial"/>
          <w:i/>
          <w:sz w:val="24"/>
          <w:szCs w:val="20"/>
        </w:rPr>
        <w:t xml:space="preserve">address here </w:t>
      </w:r>
      <w:r w:rsidRPr="00A71825">
        <w:rPr>
          <w:rFonts w:ascii="Arial" w:hAnsi="Arial" w:cs="Arial"/>
          <w:i/>
          <w:sz w:val="24"/>
          <w:szCs w:val="20"/>
        </w:rPr>
        <w:t xml:space="preserve">Online </w:t>
      </w:r>
    </w:p>
    <w:p w:rsidR="00A71825" w:rsidRPr="00A71825" w:rsidRDefault="00A71825" w:rsidP="00A71825">
      <w:pPr>
        <w:autoSpaceDE w:val="0"/>
        <w:autoSpaceDN w:val="0"/>
        <w:adjustRightInd w:val="0"/>
        <w:spacing w:after="0" w:line="240" w:lineRule="auto"/>
        <w:rPr>
          <w:rFonts w:ascii="Century Gothic" w:hAnsi="Century Gothic" w:cs="Century Gothic"/>
          <w:i/>
          <w:sz w:val="18"/>
          <w:szCs w:val="18"/>
        </w:rPr>
      </w:pPr>
      <w:r w:rsidRPr="00A71825">
        <w:rPr>
          <w:rFonts w:ascii="Century Gothic" w:hAnsi="Century Gothic" w:cs="Century Gothic"/>
          <w:i/>
          <w:sz w:val="18"/>
          <w:szCs w:val="18"/>
        </w:rPr>
        <w:t>Vol. 9(10), pp. 121-128, October 2017</w:t>
      </w:r>
    </w:p>
    <w:p w:rsidR="00A71825" w:rsidRPr="00A71825" w:rsidRDefault="00A71825" w:rsidP="00A71825">
      <w:pPr>
        <w:autoSpaceDE w:val="0"/>
        <w:autoSpaceDN w:val="0"/>
        <w:adjustRightInd w:val="0"/>
        <w:spacing w:after="0" w:line="240" w:lineRule="auto"/>
        <w:rPr>
          <w:rFonts w:ascii="Century Gothic" w:hAnsi="Century Gothic" w:cs="Century Gothic"/>
          <w:i/>
          <w:sz w:val="18"/>
          <w:szCs w:val="18"/>
        </w:rPr>
      </w:pPr>
      <w:r w:rsidRPr="00A71825">
        <w:rPr>
          <w:rFonts w:ascii="Century Gothic" w:hAnsi="Century Gothic" w:cs="Century Gothic"/>
          <w:i/>
          <w:sz w:val="18"/>
          <w:szCs w:val="18"/>
        </w:rPr>
        <w:t>DOI: 10.5897/IJNM2017.0286</w:t>
      </w:r>
    </w:p>
    <w:p w:rsidR="00A71825" w:rsidRPr="00A71825" w:rsidRDefault="00A71825" w:rsidP="00A71825">
      <w:pPr>
        <w:autoSpaceDE w:val="0"/>
        <w:autoSpaceDN w:val="0"/>
        <w:adjustRightInd w:val="0"/>
        <w:spacing w:after="0" w:line="240" w:lineRule="auto"/>
        <w:rPr>
          <w:rFonts w:ascii="Century Gothic" w:hAnsi="Century Gothic" w:cs="Century Gothic"/>
          <w:i/>
          <w:sz w:val="18"/>
          <w:szCs w:val="18"/>
        </w:rPr>
      </w:pPr>
      <w:r w:rsidRPr="00A71825">
        <w:rPr>
          <w:rFonts w:ascii="Century Gothic" w:hAnsi="Century Gothic" w:cs="Century Gothic"/>
          <w:i/>
          <w:sz w:val="18"/>
          <w:szCs w:val="18"/>
        </w:rPr>
        <w:t>Article Number: B77931066568</w:t>
      </w:r>
    </w:p>
    <w:p w:rsidR="00A71825" w:rsidRPr="00A71825" w:rsidRDefault="00A71825" w:rsidP="00A71825">
      <w:pPr>
        <w:autoSpaceDE w:val="0"/>
        <w:autoSpaceDN w:val="0"/>
        <w:adjustRightInd w:val="0"/>
        <w:spacing w:after="0" w:line="240" w:lineRule="auto"/>
        <w:rPr>
          <w:rFonts w:ascii="Century Gothic" w:hAnsi="Century Gothic" w:cs="Century Gothic"/>
          <w:i/>
          <w:sz w:val="18"/>
          <w:szCs w:val="18"/>
        </w:rPr>
      </w:pPr>
      <w:r w:rsidRPr="00A71825">
        <w:rPr>
          <w:rFonts w:ascii="Century Gothic" w:hAnsi="Century Gothic" w:cs="Century Gothic"/>
          <w:i/>
          <w:sz w:val="18"/>
          <w:szCs w:val="18"/>
        </w:rPr>
        <w:t>ISSN 2141-2456</w:t>
      </w:r>
    </w:p>
    <w:p w:rsidR="00A71825" w:rsidRPr="00A71825" w:rsidRDefault="00A71825" w:rsidP="00A71825">
      <w:pPr>
        <w:autoSpaceDE w:val="0"/>
        <w:autoSpaceDN w:val="0"/>
        <w:adjustRightInd w:val="0"/>
        <w:spacing w:after="0" w:line="240" w:lineRule="auto"/>
        <w:rPr>
          <w:rFonts w:ascii="Century Gothic" w:hAnsi="Century Gothic" w:cs="Century Gothic"/>
          <w:i/>
          <w:sz w:val="18"/>
          <w:szCs w:val="18"/>
        </w:rPr>
      </w:pPr>
      <w:r w:rsidRPr="00A71825">
        <w:rPr>
          <w:rFonts w:ascii="Century Gothic" w:hAnsi="Century Gothic" w:cs="Century Gothic"/>
          <w:i/>
          <w:sz w:val="18"/>
          <w:szCs w:val="18"/>
        </w:rPr>
        <w:t>Copyright © 2017</w:t>
      </w:r>
    </w:p>
    <w:p w:rsidR="00A71825" w:rsidRPr="00A71825" w:rsidRDefault="00A71825" w:rsidP="00A71825">
      <w:pPr>
        <w:autoSpaceDE w:val="0"/>
        <w:autoSpaceDN w:val="0"/>
        <w:adjustRightInd w:val="0"/>
        <w:spacing w:after="0" w:line="240" w:lineRule="auto"/>
        <w:rPr>
          <w:rFonts w:ascii="Century Gothic" w:hAnsi="Century Gothic" w:cs="Century Gothic"/>
          <w:i/>
          <w:sz w:val="18"/>
          <w:szCs w:val="18"/>
        </w:rPr>
      </w:pPr>
      <w:r w:rsidRPr="00A71825">
        <w:rPr>
          <w:rFonts w:ascii="Century Gothic" w:hAnsi="Century Gothic" w:cs="Century Gothic"/>
          <w:i/>
          <w:sz w:val="18"/>
          <w:szCs w:val="18"/>
        </w:rPr>
        <w:t>Author(s) retain the copyright of this article</w:t>
      </w:r>
    </w:p>
    <w:p w:rsidR="00A71825" w:rsidRPr="00A71825" w:rsidRDefault="00A71825" w:rsidP="00A71825">
      <w:pPr>
        <w:rPr>
          <w:i/>
          <w:sz w:val="28"/>
        </w:rPr>
      </w:pPr>
      <w:r w:rsidRPr="00A71825">
        <w:rPr>
          <w:rFonts w:ascii="Century Gothic" w:hAnsi="Century Gothic" w:cs="Century Gothic"/>
          <w:i/>
          <w:sz w:val="18"/>
          <w:szCs w:val="18"/>
        </w:rPr>
        <w:t>http://www.academicjournals.org/IJNM</w:t>
      </w:r>
    </w:p>
    <w:sectPr w:rsidR="00A71825" w:rsidRPr="00A718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8BA"/>
    <w:rsid w:val="003653DB"/>
    <w:rsid w:val="00A71825"/>
    <w:rsid w:val="00AA221A"/>
    <w:rsid w:val="00B900DD"/>
    <w:rsid w:val="00D177F5"/>
    <w:rsid w:val="00D338BA"/>
    <w:rsid w:val="00DB1DFD"/>
    <w:rsid w:val="00F147ED"/>
    <w:rsid w:val="00F95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6B4059-71D8-494D-9DAC-322A5C0FB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304</Words>
  <Characters>1735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Legesse</dc:creator>
  <cp:keywords/>
  <dc:description/>
  <cp:lastModifiedBy>Dr Legesse</cp:lastModifiedBy>
  <cp:revision>9</cp:revision>
  <dcterms:created xsi:type="dcterms:W3CDTF">2018-01-22T05:44:00Z</dcterms:created>
  <dcterms:modified xsi:type="dcterms:W3CDTF">2018-01-22T06:01:00Z</dcterms:modified>
</cp:coreProperties>
</file>