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FCA" w:rsidRPr="00D85A5E" w:rsidRDefault="00D85A5E">
      <w:pPr>
        <w:rPr>
          <w:rFonts w:ascii="AdvPSA336" w:hAnsi="AdvPSA336" w:cs="AdvPSA336"/>
          <w:sz w:val="44"/>
          <w:szCs w:val="44"/>
        </w:rPr>
      </w:pPr>
      <w:r>
        <w:rPr>
          <w:rFonts w:ascii="AdvPSA336" w:hAnsi="AdvPSA336" w:cs="AdvPSA336"/>
          <w:sz w:val="44"/>
          <w:szCs w:val="44"/>
        </w:rPr>
        <w:t xml:space="preserve">                     </w:t>
      </w:r>
      <w:r w:rsidR="00F2171D" w:rsidRPr="00D85A5E">
        <w:rPr>
          <w:rFonts w:ascii="AdvPSA336" w:hAnsi="AdvPSA336" w:cs="AdvPSA336"/>
          <w:sz w:val="44"/>
          <w:szCs w:val="44"/>
        </w:rPr>
        <w:t>Menopausal Transition</w:t>
      </w:r>
    </w:p>
    <w:p w:rsidR="00D85A5E" w:rsidRDefault="00D85A5E" w:rsidP="00F2171D">
      <w:pPr>
        <w:autoSpaceDE w:val="0"/>
        <w:autoSpaceDN w:val="0"/>
        <w:adjustRightInd w:val="0"/>
        <w:spacing w:after="0" w:line="240" w:lineRule="auto"/>
        <w:rPr>
          <w:rFonts w:ascii="AdvPSA183" w:hAnsi="AdvPSA183" w:cs="AdvPSA183"/>
          <w:sz w:val="28"/>
          <w:szCs w:val="28"/>
        </w:rPr>
      </w:pPr>
    </w:p>
    <w:p w:rsidR="00F2171D" w:rsidRPr="00F2171D" w:rsidRDefault="00F2171D" w:rsidP="00F2171D">
      <w:pPr>
        <w:autoSpaceDE w:val="0"/>
        <w:autoSpaceDN w:val="0"/>
        <w:adjustRightInd w:val="0"/>
        <w:spacing w:after="0" w:line="240" w:lineRule="auto"/>
        <w:rPr>
          <w:rFonts w:ascii="AdvPSA183" w:hAnsi="AdvPSA183" w:cs="AdvPSA183"/>
          <w:sz w:val="28"/>
          <w:szCs w:val="28"/>
        </w:rPr>
      </w:pPr>
      <w:r>
        <w:rPr>
          <w:rFonts w:ascii="AdvPSA183" w:hAnsi="AdvPSA183" w:cs="AdvPSA183"/>
          <w:sz w:val="28"/>
          <w:szCs w:val="28"/>
        </w:rPr>
        <w:t>Definition</w:t>
      </w:r>
      <w:r w:rsidRPr="00F2171D">
        <w:rPr>
          <w:rFonts w:ascii="AdvPSA183" w:hAnsi="AdvPSA183" w:cs="AdvPSA183"/>
          <w:sz w:val="28"/>
          <w:szCs w:val="28"/>
        </w:rPr>
        <w:t xml:space="preserve">: </w:t>
      </w:r>
    </w:p>
    <w:p w:rsidR="00F2171D" w:rsidRPr="00C91FF2" w:rsidRDefault="00F2171D" w:rsidP="00F2171D">
      <w:pPr>
        <w:autoSpaceDE w:val="0"/>
        <w:autoSpaceDN w:val="0"/>
        <w:adjustRightInd w:val="0"/>
        <w:spacing w:after="0" w:line="240" w:lineRule="auto"/>
        <w:jc w:val="both"/>
        <w:rPr>
          <w:rFonts w:ascii="AdvPSA183" w:hAnsi="AdvPSA183" w:cs="AdvPSA183"/>
          <w:color w:val="000000"/>
          <w:sz w:val="24"/>
          <w:szCs w:val="24"/>
        </w:rPr>
      </w:pPr>
      <w:r w:rsidRPr="00C91FF2">
        <w:rPr>
          <w:rFonts w:ascii="AdvPSA183" w:hAnsi="AdvPSA183" w:cs="AdvPSA183"/>
          <w:sz w:val="24"/>
          <w:szCs w:val="24"/>
        </w:rPr>
        <w:t xml:space="preserve">Menopause occurs when the ovaries have complete (or near-complete) follicular exhaustion, resulting in very low serum levels of estradiol and markedly increased follicle-stimulating hormone (FSH) levels. </w:t>
      </w:r>
      <w:r w:rsidRPr="00C91FF2">
        <w:rPr>
          <w:rFonts w:ascii="AdvPSA183" w:hAnsi="AdvPSA183" w:cs="AdvPSA183"/>
          <w:color w:val="000000"/>
          <w:sz w:val="24"/>
          <w:szCs w:val="24"/>
        </w:rPr>
        <w:t xml:space="preserve">Common symptoms of menopause often begin during the </w:t>
      </w:r>
      <w:proofErr w:type="spellStart"/>
      <w:r w:rsidRPr="00C91FF2">
        <w:rPr>
          <w:rFonts w:ascii="AdvPSA183" w:hAnsi="AdvPSA183" w:cs="AdvPSA183"/>
          <w:color w:val="000000"/>
          <w:sz w:val="24"/>
          <w:szCs w:val="24"/>
        </w:rPr>
        <w:t>perimenopausal</w:t>
      </w:r>
      <w:proofErr w:type="spellEnd"/>
      <w:r w:rsidRPr="00C91FF2">
        <w:rPr>
          <w:rFonts w:ascii="AdvPSA183" w:hAnsi="AdvPSA183" w:cs="AdvPSA183"/>
          <w:color w:val="000000"/>
          <w:sz w:val="24"/>
          <w:szCs w:val="24"/>
        </w:rPr>
        <w:t xml:space="preserve"> transition at a median of 47 years or</w:t>
      </w:r>
      <w:r w:rsidRPr="00C91FF2">
        <w:rPr>
          <w:rFonts w:ascii="AdvPSA183" w:hAnsi="AdvPSA183" w:cs="AdvPSA183"/>
          <w:sz w:val="24"/>
          <w:szCs w:val="24"/>
        </w:rPr>
        <w:t xml:space="preserve"> </w:t>
      </w:r>
      <w:r w:rsidRPr="00C91FF2">
        <w:rPr>
          <w:rFonts w:ascii="AdvPSA183" w:hAnsi="AdvPSA183" w:cs="AdvPSA183"/>
          <w:color w:val="000000"/>
          <w:sz w:val="24"/>
          <w:szCs w:val="24"/>
        </w:rPr>
        <w:t>4 to 6 years before menopause occurs.</w:t>
      </w:r>
    </w:p>
    <w:p w:rsidR="00F2171D" w:rsidRPr="00C91FF2" w:rsidRDefault="00F2171D" w:rsidP="00F2171D">
      <w:pPr>
        <w:autoSpaceDE w:val="0"/>
        <w:autoSpaceDN w:val="0"/>
        <w:adjustRightInd w:val="0"/>
        <w:spacing w:after="0" w:line="240" w:lineRule="auto"/>
        <w:jc w:val="both"/>
        <w:rPr>
          <w:rFonts w:ascii="AdvPSA183" w:hAnsi="AdvPSA183" w:cs="AdvPSA183"/>
          <w:color w:val="000000"/>
          <w:sz w:val="24"/>
          <w:szCs w:val="24"/>
        </w:rPr>
      </w:pPr>
    </w:p>
    <w:p w:rsidR="00C91FF2" w:rsidRDefault="00C32EF9" w:rsidP="00C32EF9">
      <w:pPr>
        <w:autoSpaceDE w:val="0"/>
        <w:autoSpaceDN w:val="0"/>
        <w:adjustRightInd w:val="0"/>
        <w:spacing w:after="0" w:line="240" w:lineRule="auto"/>
        <w:jc w:val="both"/>
        <w:rPr>
          <w:rFonts w:ascii="AdvPSA336" w:hAnsi="AdvPSA336" w:cs="AdvPSA336"/>
          <w:sz w:val="24"/>
          <w:szCs w:val="24"/>
        </w:rPr>
      </w:pPr>
      <w:r w:rsidRPr="00F2171D">
        <w:rPr>
          <w:rFonts w:ascii="AdvPSA336" w:hAnsi="AdvPSA336" w:cs="AdvPSA336"/>
          <w:sz w:val="28"/>
          <w:szCs w:val="28"/>
        </w:rPr>
        <w:t>Staging of reproductive aging</w:t>
      </w:r>
      <w:r w:rsidR="00C91FF2" w:rsidRPr="00C91FF2">
        <w:rPr>
          <w:rFonts w:ascii="AdvPSA336" w:hAnsi="AdvPSA336" w:cs="AdvPSA336"/>
          <w:sz w:val="24"/>
          <w:szCs w:val="24"/>
        </w:rPr>
        <w:t>:</w:t>
      </w:r>
    </w:p>
    <w:p w:rsidR="00C91FF2" w:rsidRDefault="00C91FF2" w:rsidP="00C32EF9">
      <w:pPr>
        <w:autoSpaceDE w:val="0"/>
        <w:autoSpaceDN w:val="0"/>
        <w:adjustRightInd w:val="0"/>
        <w:spacing w:after="0" w:line="240" w:lineRule="auto"/>
        <w:jc w:val="both"/>
        <w:rPr>
          <w:rFonts w:ascii="AdvPSA336" w:hAnsi="AdvPSA336" w:cs="AdvPSA336"/>
          <w:sz w:val="24"/>
          <w:szCs w:val="24"/>
        </w:rPr>
      </w:pPr>
    </w:p>
    <w:p w:rsidR="00C32EF9" w:rsidRDefault="00C91FF2" w:rsidP="00C32EF9">
      <w:pPr>
        <w:autoSpaceDE w:val="0"/>
        <w:autoSpaceDN w:val="0"/>
        <w:adjustRightInd w:val="0"/>
        <w:spacing w:after="0" w:line="240" w:lineRule="auto"/>
        <w:jc w:val="both"/>
        <w:rPr>
          <w:rFonts w:ascii="AdvPSA336" w:hAnsi="AdvPSA336" w:cs="AdvPSA336"/>
          <w:sz w:val="28"/>
          <w:szCs w:val="28"/>
        </w:rPr>
      </w:pPr>
      <w:r>
        <w:rPr>
          <w:rFonts w:ascii="AdvPSA336" w:hAnsi="AdvPSA336" w:cs="AdvPSA336"/>
          <w:sz w:val="24"/>
          <w:szCs w:val="24"/>
        </w:rPr>
        <w:t xml:space="preserve">    </w:t>
      </w:r>
      <w:r w:rsidRPr="00C91FF2">
        <w:rPr>
          <w:rFonts w:ascii="AdvPSA336" w:hAnsi="AdvPSA336" w:cs="AdvPSA336"/>
          <w:sz w:val="24"/>
          <w:szCs w:val="24"/>
        </w:rPr>
        <w:t xml:space="preserve"> </w:t>
      </w:r>
      <w:r w:rsidRPr="00C91FF2">
        <w:rPr>
          <w:rFonts w:ascii="HelveticaNeue-Bold" w:hAnsi="HelveticaNeue-Bold" w:cs="HelveticaNeue-Bold"/>
          <w:b/>
          <w:bCs/>
          <w:color w:val="131313"/>
          <w:sz w:val="24"/>
          <w:szCs w:val="24"/>
        </w:rPr>
        <w:t>REPRODUCTIVE</w:t>
      </w:r>
      <w:r w:rsidRPr="00C91FF2">
        <w:rPr>
          <w:rFonts w:ascii="HelveticaNeue-Bold" w:hAnsi="HelveticaNeue-Bold" w:cs="HelveticaNeue-Bold"/>
          <w:b/>
          <w:bCs/>
          <w:color w:val="131313"/>
          <w:sz w:val="24"/>
          <w:szCs w:val="24"/>
        </w:rPr>
        <w:t xml:space="preserve">, </w:t>
      </w:r>
      <w:r w:rsidRPr="00C91FF2">
        <w:rPr>
          <w:rFonts w:ascii="HelveticaNeue-Bold" w:hAnsi="HelveticaNeue-Bold" w:cs="HelveticaNeue-Bold"/>
          <w:b/>
          <w:bCs/>
          <w:color w:val="131313"/>
          <w:sz w:val="24"/>
          <w:szCs w:val="24"/>
        </w:rPr>
        <w:t>MENOPAUSAL TRANSITION</w:t>
      </w:r>
      <w:r w:rsidRPr="00C91FF2">
        <w:rPr>
          <w:rFonts w:ascii="HelveticaNeue-Bold" w:hAnsi="HelveticaNeue-Bold" w:cs="HelveticaNeue-Bold"/>
          <w:b/>
          <w:bCs/>
          <w:color w:val="131313"/>
          <w:sz w:val="24"/>
          <w:szCs w:val="24"/>
        </w:rPr>
        <w:t xml:space="preserve">, </w:t>
      </w:r>
      <w:r w:rsidRPr="00C91FF2">
        <w:rPr>
          <w:rFonts w:ascii="HelveticaNeue-Bold" w:hAnsi="HelveticaNeue-Bold" w:cs="HelveticaNeue-Bold"/>
          <w:b/>
          <w:bCs/>
          <w:color w:val="131313"/>
          <w:sz w:val="24"/>
          <w:szCs w:val="24"/>
        </w:rPr>
        <w:t>POSTMENOPAUSE</w:t>
      </w:r>
    </w:p>
    <w:p w:rsidR="00C32EF9" w:rsidRDefault="00C32EF9" w:rsidP="00C32EF9">
      <w:pPr>
        <w:autoSpaceDE w:val="0"/>
        <w:autoSpaceDN w:val="0"/>
        <w:adjustRightInd w:val="0"/>
        <w:spacing w:after="0" w:line="240" w:lineRule="auto"/>
        <w:jc w:val="both"/>
        <w:rPr>
          <w:rFonts w:ascii="AdvPSA336" w:hAnsi="AdvPSA336" w:cs="AdvPSA336"/>
          <w:sz w:val="28"/>
          <w:szCs w:val="28"/>
        </w:rPr>
      </w:pPr>
    </w:p>
    <w:p w:rsidR="00C32EF9" w:rsidRPr="00C32EF9" w:rsidRDefault="00C32EF9" w:rsidP="00C32EF9">
      <w:pPr>
        <w:autoSpaceDE w:val="0"/>
        <w:autoSpaceDN w:val="0"/>
        <w:adjustRightInd w:val="0"/>
        <w:spacing w:after="0" w:line="240" w:lineRule="auto"/>
        <w:jc w:val="both"/>
        <w:rPr>
          <w:rFonts w:ascii="AdvPSA183" w:hAnsi="AdvPSA183" w:cs="AdvPSA183"/>
          <w:color w:val="000000"/>
          <w:sz w:val="28"/>
          <w:szCs w:val="28"/>
        </w:rPr>
      </w:pPr>
      <w:r>
        <w:rPr>
          <w:rFonts w:ascii="AdvOTd1f5cc91.B" w:hAnsi="AdvOTd1f5cc91.B" w:cs="AdvOTd1f5cc91.B"/>
          <w:sz w:val="28"/>
          <w:szCs w:val="28"/>
        </w:rPr>
        <w:t>E</w:t>
      </w:r>
      <w:r w:rsidRPr="00C32EF9">
        <w:rPr>
          <w:rFonts w:ascii="AdvOTd1f5cc91.B" w:hAnsi="AdvOTd1f5cc91.B" w:cs="AdvOTd1f5cc91.B"/>
          <w:sz w:val="28"/>
          <w:szCs w:val="28"/>
        </w:rPr>
        <w:t>ndocrine changes</w:t>
      </w:r>
    </w:p>
    <w:p w:rsidR="00C32EF9" w:rsidRDefault="00C32EF9" w:rsidP="00F2171D">
      <w:pPr>
        <w:autoSpaceDE w:val="0"/>
        <w:autoSpaceDN w:val="0"/>
        <w:adjustRightInd w:val="0"/>
        <w:spacing w:after="0" w:line="240" w:lineRule="auto"/>
        <w:jc w:val="both"/>
        <w:rPr>
          <w:rFonts w:ascii="AdvPSA336" w:hAnsi="AdvPSA336" w:cs="AdvPSA336"/>
          <w:sz w:val="28"/>
          <w:szCs w:val="28"/>
        </w:rPr>
      </w:pPr>
    </w:p>
    <w:p w:rsidR="00F2171D" w:rsidRDefault="00F2171D" w:rsidP="00F2171D">
      <w:pPr>
        <w:autoSpaceDE w:val="0"/>
        <w:autoSpaceDN w:val="0"/>
        <w:adjustRightInd w:val="0"/>
        <w:spacing w:after="0" w:line="240" w:lineRule="auto"/>
        <w:jc w:val="both"/>
        <w:rPr>
          <w:rFonts w:ascii="AdvPSA336" w:hAnsi="AdvPSA336" w:cs="AdvPSA336"/>
          <w:sz w:val="28"/>
          <w:szCs w:val="28"/>
        </w:rPr>
      </w:pPr>
      <w:r w:rsidRPr="00F2171D">
        <w:rPr>
          <w:rFonts w:ascii="AdvPSA336" w:hAnsi="AdvPSA336" w:cs="AdvPSA336"/>
          <w:sz w:val="28"/>
          <w:szCs w:val="28"/>
        </w:rPr>
        <w:t>Frequent symptoms of menopause</w:t>
      </w:r>
    </w:p>
    <w:p w:rsidR="00F2171D" w:rsidRDefault="00C91FF2" w:rsidP="00F2171D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4"/>
          <w:szCs w:val="24"/>
        </w:rPr>
      </w:pPr>
      <w:r>
        <w:rPr>
          <w:rFonts w:ascii="AdvOTd1f5cc91.B" w:hAnsi="AdvOTd1f5cc91.B" w:cs="AdvOTd1f5cc91.B"/>
          <w:sz w:val="24"/>
          <w:szCs w:val="24"/>
        </w:rPr>
        <w:t xml:space="preserve">    </w:t>
      </w:r>
      <w:r w:rsidR="00C32EF9" w:rsidRPr="00C32EF9">
        <w:rPr>
          <w:rFonts w:ascii="AdvOTd1f5cc91.B" w:hAnsi="AdvOTd1f5cc91.B" w:cs="AdvOTd1f5cc91.B"/>
          <w:sz w:val="24"/>
          <w:szCs w:val="24"/>
        </w:rPr>
        <w:t>Vasomotor symptoms</w:t>
      </w:r>
    </w:p>
    <w:p w:rsidR="00C32EF9" w:rsidRDefault="00C32EF9" w:rsidP="00F2171D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4"/>
          <w:szCs w:val="24"/>
        </w:rPr>
      </w:pPr>
    </w:p>
    <w:p w:rsidR="00C32EF9" w:rsidRDefault="00C91FF2" w:rsidP="00F2171D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4"/>
          <w:szCs w:val="24"/>
        </w:rPr>
      </w:pPr>
      <w:r>
        <w:rPr>
          <w:rFonts w:ascii="AdvOTd1f5cc91.B" w:hAnsi="AdvOTd1f5cc91.B" w:cs="AdvOTd1f5cc91.B"/>
          <w:sz w:val="24"/>
          <w:szCs w:val="24"/>
        </w:rPr>
        <w:t xml:space="preserve">     </w:t>
      </w:r>
      <w:r w:rsidR="00C32EF9" w:rsidRPr="00C32EF9">
        <w:rPr>
          <w:rFonts w:ascii="AdvOTd1f5cc91.B" w:hAnsi="AdvOTd1f5cc91.B" w:cs="AdvOTd1f5cc91.B"/>
          <w:sz w:val="24"/>
          <w:szCs w:val="24"/>
        </w:rPr>
        <w:t>Urogenital effects and sexual function</w:t>
      </w:r>
    </w:p>
    <w:p w:rsidR="00C32EF9" w:rsidRDefault="00C32EF9" w:rsidP="00F2171D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4"/>
          <w:szCs w:val="24"/>
        </w:rPr>
      </w:pPr>
    </w:p>
    <w:p w:rsidR="00C32EF9" w:rsidRDefault="00C91FF2" w:rsidP="00F2171D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4"/>
          <w:szCs w:val="24"/>
        </w:rPr>
      </w:pPr>
      <w:r>
        <w:rPr>
          <w:rFonts w:ascii="AdvOTd1f5cc91.B" w:hAnsi="AdvOTd1f5cc91.B" w:cs="AdvOTd1f5cc91.B"/>
          <w:sz w:val="24"/>
          <w:szCs w:val="24"/>
        </w:rPr>
        <w:t xml:space="preserve">     </w:t>
      </w:r>
      <w:r w:rsidR="00C32EF9" w:rsidRPr="00C32EF9">
        <w:rPr>
          <w:rFonts w:ascii="AdvOTd1f5cc91.B" w:hAnsi="AdvOTd1f5cc91.B" w:cs="AdvOTd1f5cc91.B"/>
          <w:sz w:val="24"/>
          <w:szCs w:val="24"/>
        </w:rPr>
        <w:t>Mood</w:t>
      </w:r>
    </w:p>
    <w:p w:rsidR="00D85A5E" w:rsidRDefault="00D85A5E" w:rsidP="00F2171D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4"/>
          <w:szCs w:val="24"/>
        </w:rPr>
      </w:pPr>
    </w:p>
    <w:p w:rsidR="00D85A5E" w:rsidRDefault="00C91FF2" w:rsidP="00F2171D">
      <w:pPr>
        <w:autoSpaceDE w:val="0"/>
        <w:autoSpaceDN w:val="0"/>
        <w:adjustRightInd w:val="0"/>
        <w:spacing w:after="0" w:line="240" w:lineRule="auto"/>
        <w:rPr>
          <w:rFonts w:ascii="AdvOT106fdb58.B" w:hAnsi="AdvOT106fdb58.B" w:cs="AdvOT106fdb58.B"/>
          <w:color w:val="0D0D0D" w:themeColor="text1" w:themeTint="F2"/>
          <w:sz w:val="24"/>
          <w:szCs w:val="24"/>
        </w:rPr>
      </w:pPr>
      <w:r>
        <w:rPr>
          <w:rFonts w:ascii="AdvOT106fdb58.B" w:hAnsi="AdvOT106fdb58.B" w:cs="AdvOT106fdb58.B"/>
          <w:color w:val="0D0D0D" w:themeColor="text1" w:themeTint="F2"/>
          <w:sz w:val="24"/>
          <w:szCs w:val="24"/>
        </w:rPr>
        <w:t xml:space="preserve">     </w:t>
      </w:r>
      <w:r w:rsidR="00D85A5E" w:rsidRPr="00D85A5E">
        <w:rPr>
          <w:rFonts w:ascii="AdvOT106fdb58.B" w:hAnsi="AdvOT106fdb58.B" w:cs="AdvOT106fdb58.B"/>
          <w:color w:val="0D0D0D" w:themeColor="text1" w:themeTint="F2"/>
          <w:sz w:val="24"/>
          <w:szCs w:val="24"/>
        </w:rPr>
        <w:t>Musculoskeletal symptoms</w:t>
      </w:r>
    </w:p>
    <w:p w:rsidR="00D85A5E" w:rsidRDefault="00D85A5E" w:rsidP="00F2171D">
      <w:pPr>
        <w:autoSpaceDE w:val="0"/>
        <w:autoSpaceDN w:val="0"/>
        <w:adjustRightInd w:val="0"/>
        <w:spacing w:after="0" w:line="240" w:lineRule="auto"/>
        <w:rPr>
          <w:rFonts w:ascii="AdvOT106fdb58.B" w:hAnsi="AdvOT106fdb58.B" w:cs="AdvOT106fdb58.B"/>
          <w:color w:val="0D0D0D" w:themeColor="text1" w:themeTint="F2"/>
          <w:sz w:val="24"/>
          <w:szCs w:val="24"/>
        </w:rPr>
      </w:pPr>
    </w:p>
    <w:p w:rsidR="00D85A5E" w:rsidRDefault="00C91FF2" w:rsidP="00F2171D">
      <w:pPr>
        <w:autoSpaceDE w:val="0"/>
        <w:autoSpaceDN w:val="0"/>
        <w:adjustRightInd w:val="0"/>
        <w:spacing w:after="0" w:line="240" w:lineRule="auto"/>
        <w:rPr>
          <w:rFonts w:ascii="AdvOT106fdb58.B" w:hAnsi="AdvOT106fdb58.B" w:cs="AdvOT106fdb58.B"/>
          <w:color w:val="0D0D0D" w:themeColor="text1" w:themeTint="F2"/>
          <w:sz w:val="24"/>
          <w:szCs w:val="24"/>
        </w:rPr>
      </w:pPr>
      <w:r>
        <w:rPr>
          <w:rFonts w:ascii="AdvOT106fdb58.B" w:hAnsi="AdvOT106fdb58.B" w:cs="AdvOT106fdb58.B"/>
          <w:color w:val="0D0D0D" w:themeColor="text1" w:themeTint="F2"/>
          <w:sz w:val="24"/>
          <w:szCs w:val="24"/>
        </w:rPr>
        <w:t xml:space="preserve">     </w:t>
      </w:r>
      <w:r w:rsidR="00D85A5E" w:rsidRPr="00D85A5E">
        <w:rPr>
          <w:rFonts w:ascii="AdvOT106fdb58.B" w:hAnsi="AdvOT106fdb58.B" w:cs="AdvOT106fdb58.B"/>
          <w:color w:val="0D0D0D" w:themeColor="text1" w:themeTint="F2"/>
          <w:sz w:val="24"/>
          <w:szCs w:val="24"/>
        </w:rPr>
        <w:t>Long-term health effects</w:t>
      </w:r>
    </w:p>
    <w:p w:rsidR="00D85A5E" w:rsidRPr="00D85A5E" w:rsidRDefault="00D85A5E" w:rsidP="00F2171D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color w:val="0D0D0D" w:themeColor="text1" w:themeTint="F2"/>
          <w:sz w:val="24"/>
          <w:szCs w:val="24"/>
        </w:rPr>
      </w:pPr>
    </w:p>
    <w:p w:rsidR="00C32EF9" w:rsidRDefault="00C32EF9" w:rsidP="00F2171D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4"/>
          <w:szCs w:val="24"/>
        </w:rPr>
      </w:pPr>
    </w:p>
    <w:p w:rsidR="00C32EF9" w:rsidRPr="00C32EF9" w:rsidRDefault="00C32EF9" w:rsidP="00C32EF9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8"/>
          <w:szCs w:val="28"/>
        </w:rPr>
      </w:pPr>
      <w:r w:rsidRPr="00C32EF9">
        <w:rPr>
          <w:rFonts w:ascii="AdvOTd1f5cc91.B" w:hAnsi="AdvOTd1f5cc91.B" w:cs="AdvOTd1f5cc91.B"/>
          <w:sz w:val="28"/>
          <w:szCs w:val="28"/>
        </w:rPr>
        <w:t>Clinical assessment of women during the menopausal</w:t>
      </w:r>
    </w:p>
    <w:p w:rsidR="00C32EF9" w:rsidRDefault="00C32EF9" w:rsidP="00C32EF9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8"/>
          <w:szCs w:val="28"/>
        </w:rPr>
      </w:pPr>
      <w:r w:rsidRPr="00C32EF9">
        <w:rPr>
          <w:rFonts w:ascii="AdvOTd1f5cc91.B" w:hAnsi="AdvOTd1f5cc91.B" w:cs="AdvOTd1f5cc91.B"/>
          <w:sz w:val="28"/>
          <w:szCs w:val="28"/>
        </w:rPr>
        <w:t>Transition</w:t>
      </w:r>
    </w:p>
    <w:p w:rsidR="00C32EF9" w:rsidRDefault="00C32EF9" w:rsidP="00C32EF9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8"/>
          <w:szCs w:val="28"/>
        </w:rPr>
      </w:pPr>
    </w:p>
    <w:p w:rsidR="00D22691" w:rsidRDefault="00D22691" w:rsidP="00C32EF9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8"/>
          <w:szCs w:val="28"/>
        </w:rPr>
      </w:pPr>
    </w:p>
    <w:p w:rsidR="00C32EF9" w:rsidRDefault="00C32EF9" w:rsidP="00C32EF9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8"/>
          <w:szCs w:val="28"/>
        </w:rPr>
      </w:pPr>
      <w:r w:rsidRPr="00C32EF9">
        <w:rPr>
          <w:rFonts w:ascii="AdvOTd1f5cc91.B" w:hAnsi="AdvOTd1f5cc91.B" w:cs="AdvOTd1f5cc91.B"/>
          <w:sz w:val="28"/>
          <w:szCs w:val="28"/>
        </w:rPr>
        <w:t>Menopausal symptom control</w:t>
      </w:r>
      <w:r w:rsidR="00D85A5E">
        <w:rPr>
          <w:rFonts w:ascii="AdvOTd1f5cc91.B" w:hAnsi="AdvOTd1f5cc91.B" w:cs="AdvOTd1f5cc91.B"/>
          <w:sz w:val="28"/>
          <w:szCs w:val="28"/>
        </w:rPr>
        <w:t>:</w:t>
      </w:r>
    </w:p>
    <w:p w:rsidR="00C32EF9" w:rsidRDefault="00C32EF9" w:rsidP="00C32EF9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4"/>
          <w:szCs w:val="24"/>
        </w:rPr>
      </w:pPr>
      <w:r w:rsidRPr="00C32EF9">
        <w:rPr>
          <w:rFonts w:ascii="AdvOTd1f5cc91.B" w:hAnsi="AdvOTd1f5cc91.B" w:cs="AdvOTd1f5cc91.B"/>
          <w:sz w:val="24"/>
          <w:szCs w:val="24"/>
        </w:rPr>
        <w:t>Non-pharmacological therapies</w:t>
      </w:r>
    </w:p>
    <w:p w:rsidR="00C32EF9" w:rsidRDefault="00C32EF9" w:rsidP="00C32EF9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4"/>
          <w:szCs w:val="24"/>
        </w:rPr>
      </w:pPr>
      <w:r w:rsidRPr="00C32EF9">
        <w:rPr>
          <w:rFonts w:ascii="AdvOTd1f5cc91.B" w:hAnsi="AdvOTd1f5cc91.B" w:cs="AdvOTd1f5cc91.B"/>
          <w:sz w:val="24"/>
          <w:szCs w:val="24"/>
        </w:rPr>
        <w:t>Menopausal hormone therapy (HRT)</w:t>
      </w:r>
    </w:p>
    <w:p w:rsidR="00C32EF9" w:rsidRDefault="00C32EF9" w:rsidP="00C32EF9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4"/>
          <w:szCs w:val="24"/>
        </w:rPr>
      </w:pPr>
    </w:p>
    <w:p w:rsidR="00D22691" w:rsidRDefault="00D22691" w:rsidP="00C32EF9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8"/>
          <w:szCs w:val="28"/>
        </w:rPr>
      </w:pPr>
    </w:p>
    <w:p w:rsidR="00C32EF9" w:rsidRDefault="00C32EF9" w:rsidP="00C32EF9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8"/>
          <w:szCs w:val="28"/>
        </w:rPr>
      </w:pPr>
      <w:bookmarkStart w:id="0" w:name="_GoBack"/>
      <w:bookmarkEnd w:id="0"/>
      <w:r w:rsidRPr="00C32EF9">
        <w:rPr>
          <w:rFonts w:ascii="AdvOTd1f5cc91.B" w:hAnsi="AdvOTd1f5cc91.B" w:cs="AdvOTd1f5cc91.B"/>
          <w:sz w:val="28"/>
          <w:szCs w:val="28"/>
        </w:rPr>
        <w:t>Conclusions</w:t>
      </w:r>
      <w:r w:rsidR="00C91FF2">
        <w:rPr>
          <w:rFonts w:ascii="AdvOTd1f5cc91.B" w:hAnsi="AdvOTd1f5cc91.B" w:cs="AdvOTd1f5cc91.B"/>
          <w:sz w:val="28"/>
          <w:szCs w:val="28"/>
        </w:rPr>
        <w:t xml:space="preserve">: </w:t>
      </w:r>
    </w:p>
    <w:p w:rsidR="00C91FF2" w:rsidRPr="00C91FF2" w:rsidRDefault="00C91FF2" w:rsidP="00C91FF2">
      <w:pPr>
        <w:autoSpaceDE w:val="0"/>
        <w:autoSpaceDN w:val="0"/>
        <w:adjustRightInd w:val="0"/>
        <w:spacing w:after="0" w:line="240" w:lineRule="auto"/>
        <w:jc w:val="both"/>
        <w:rPr>
          <w:rFonts w:ascii="AdvP8952" w:hAnsi="AdvP8952" w:cs="AdvP8952"/>
          <w:sz w:val="24"/>
          <w:szCs w:val="24"/>
        </w:rPr>
      </w:pPr>
      <w:r w:rsidRPr="00C91FF2">
        <w:rPr>
          <w:rFonts w:ascii="AdvP8952" w:hAnsi="AdvP8952" w:cs="AdvP8952"/>
          <w:sz w:val="24"/>
          <w:szCs w:val="24"/>
        </w:rPr>
        <w:t>The menopausal transition typically occurs at a stage in a</w:t>
      </w:r>
      <w:r>
        <w:rPr>
          <w:rFonts w:ascii="AdvP8952" w:hAnsi="AdvP8952" w:cs="AdvP8952"/>
          <w:sz w:val="24"/>
          <w:szCs w:val="24"/>
        </w:rPr>
        <w:t xml:space="preserve"> </w:t>
      </w:r>
      <w:r w:rsidRPr="00C91FF2">
        <w:rPr>
          <w:rFonts w:ascii="AdvP8952" w:hAnsi="AdvP8952" w:cs="AdvP8952"/>
          <w:sz w:val="24"/>
          <w:szCs w:val="24"/>
        </w:rPr>
        <w:t>woman’s life-cycle where biological chan</w:t>
      </w:r>
      <w:r>
        <w:rPr>
          <w:rFonts w:ascii="AdvP8952" w:hAnsi="AdvP8952" w:cs="AdvP8952"/>
          <w:sz w:val="24"/>
          <w:szCs w:val="24"/>
        </w:rPr>
        <w:t xml:space="preserve">ges coincide with psychological </w:t>
      </w:r>
      <w:r w:rsidRPr="00C91FF2">
        <w:rPr>
          <w:rFonts w:ascii="AdvP8952" w:hAnsi="AdvP8952" w:cs="AdvP8952"/>
          <w:sz w:val="24"/>
          <w:szCs w:val="24"/>
        </w:rPr>
        <w:t>and social changes.</w:t>
      </w:r>
      <w:r>
        <w:rPr>
          <w:rFonts w:ascii="AdvP8952" w:hAnsi="AdvP8952" w:cs="AdvP8952"/>
          <w:sz w:val="24"/>
          <w:szCs w:val="24"/>
        </w:rPr>
        <w:t xml:space="preserve"> This is therefore likely to be </w:t>
      </w:r>
      <w:r w:rsidRPr="00C91FF2">
        <w:rPr>
          <w:rFonts w:ascii="AdvP8952" w:hAnsi="AdvP8952" w:cs="AdvP8952"/>
          <w:sz w:val="24"/>
          <w:szCs w:val="24"/>
        </w:rPr>
        <w:t>experienced as a time of profound</w:t>
      </w:r>
      <w:r>
        <w:rPr>
          <w:rFonts w:ascii="AdvP8952" w:hAnsi="AdvP8952" w:cs="AdvP8952"/>
          <w:sz w:val="24"/>
          <w:szCs w:val="24"/>
        </w:rPr>
        <w:t xml:space="preserve">, and sometimes even turbulent, </w:t>
      </w:r>
      <w:r w:rsidRPr="00C91FF2">
        <w:rPr>
          <w:rFonts w:ascii="AdvP8952" w:hAnsi="AdvP8952" w:cs="AdvP8952"/>
          <w:sz w:val="24"/>
          <w:szCs w:val="24"/>
        </w:rPr>
        <w:t>change in a woman’s life.</w:t>
      </w:r>
    </w:p>
    <w:p w:rsidR="00C32EF9" w:rsidRDefault="00C32EF9" w:rsidP="00C32EF9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8"/>
          <w:szCs w:val="28"/>
        </w:rPr>
      </w:pPr>
    </w:p>
    <w:p w:rsidR="00C32EF9" w:rsidRDefault="00C32EF9" w:rsidP="00C32EF9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8"/>
          <w:szCs w:val="28"/>
        </w:rPr>
      </w:pPr>
    </w:p>
    <w:p w:rsidR="00C32EF9" w:rsidRDefault="00C32EF9" w:rsidP="00C32EF9">
      <w:pPr>
        <w:autoSpaceDE w:val="0"/>
        <w:autoSpaceDN w:val="0"/>
        <w:adjustRightInd w:val="0"/>
        <w:spacing w:after="0" w:line="240" w:lineRule="auto"/>
        <w:rPr>
          <w:rFonts w:ascii="AdvOTd1f5cc91.B" w:hAnsi="AdvOTd1f5cc91.B" w:cs="AdvOTd1f5cc91.B"/>
          <w:sz w:val="28"/>
          <w:szCs w:val="28"/>
        </w:rPr>
      </w:pPr>
      <w:proofErr w:type="spellStart"/>
      <w:r>
        <w:rPr>
          <w:rFonts w:ascii="AdvOTd1f5cc91.B" w:hAnsi="AdvOTd1f5cc91.B" w:cs="AdvOTd1f5cc91.B"/>
          <w:sz w:val="28"/>
          <w:szCs w:val="28"/>
        </w:rPr>
        <w:lastRenderedPageBreak/>
        <w:t>Refferences</w:t>
      </w:r>
      <w:proofErr w:type="spellEnd"/>
      <w:r w:rsidR="0075530D">
        <w:rPr>
          <w:rFonts w:ascii="AdvOTd1f5cc91.B" w:hAnsi="AdvOTd1f5cc91.B" w:cs="AdvOTd1f5cc91.B"/>
          <w:sz w:val="28"/>
          <w:szCs w:val="28"/>
        </w:rPr>
        <w:t>:</w:t>
      </w:r>
    </w:p>
    <w:p w:rsidR="0075530D" w:rsidRPr="0075530D" w:rsidRDefault="0075530D" w:rsidP="0075530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dvPSA334" w:hAnsi="AdvPSA334" w:cs="AdvPSA334"/>
          <w:color w:val="0D0D0D" w:themeColor="text1" w:themeTint="F2"/>
          <w:sz w:val="24"/>
          <w:szCs w:val="24"/>
        </w:rPr>
      </w:pPr>
      <w:r w:rsidRPr="0075530D">
        <w:rPr>
          <w:rFonts w:ascii="AdvOT156ec773" w:hAnsi="AdvOT156ec773" w:cs="AdvOT156ec773"/>
          <w:color w:val="0D0D0D" w:themeColor="text1" w:themeTint="F2"/>
          <w:sz w:val="24"/>
          <w:szCs w:val="24"/>
        </w:rPr>
        <w:t xml:space="preserve">Janice L. Bacon, MD, FACOG, </w:t>
      </w:r>
      <w:proofErr w:type="gramStart"/>
      <w:r w:rsidRPr="0075530D">
        <w:rPr>
          <w:rFonts w:ascii="AdvPSA336" w:hAnsi="AdvPSA336" w:cs="AdvPSA336"/>
          <w:color w:val="0D0D0D" w:themeColor="text1" w:themeTint="F2"/>
          <w:sz w:val="24"/>
          <w:szCs w:val="24"/>
        </w:rPr>
        <w:t>The</w:t>
      </w:r>
      <w:proofErr w:type="gramEnd"/>
      <w:r w:rsidRPr="0075530D">
        <w:rPr>
          <w:rFonts w:ascii="AdvPSA336" w:hAnsi="AdvPSA336" w:cs="AdvPSA336"/>
          <w:color w:val="0D0D0D" w:themeColor="text1" w:themeTint="F2"/>
          <w:sz w:val="24"/>
          <w:szCs w:val="24"/>
        </w:rPr>
        <w:t xml:space="preserve"> Menopausal </w:t>
      </w:r>
      <w:proofErr w:type="spellStart"/>
      <w:r w:rsidRPr="0075530D">
        <w:rPr>
          <w:rFonts w:ascii="AdvPSA336" w:hAnsi="AdvPSA336" w:cs="AdvPSA336"/>
          <w:color w:val="0D0D0D" w:themeColor="text1" w:themeTint="F2"/>
          <w:sz w:val="24"/>
          <w:szCs w:val="24"/>
        </w:rPr>
        <w:t>Transition</w:t>
      </w:r>
      <w:r w:rsidR="006A28FE">
        <w:rPr>
          <w:rFonts w:ascii="AdvPSA336" w:hAnsi="AdvPSA336" w:cs="AdvPSA336"/>
          <w:color w:val="0D0D0D" w:themeColor="text1" w:themeTint="F2"/>
          <w:sz w:val="24"/>
          <w:szCs w:val="24"/>
        </w:rPr>
        <w:t>.</w:t>
      </w:r>
      <w:r w:rsidRPr="0075530D">
        <w:rPr>
          <w:rFonts w:ascii="AdvPSA334" w:hAnsi="AdvPSA334" w:cs="AdvPSA334"/>
          <w:color w:val="0D0D0D" w:themeColor="text1" w:themeTint="F2"/>
          <w:sz w:val="24"/>
          <w:szCs w:val="24"/>
        </w:rPr>
        <w:t>Obstet</w:t>
      </w:r>
      <w:proofErr w:type="spellEnd"/>
      <w:r w:rsidRPr="0075530D">
        <w:rPr>
          <w:rFonts w:ascii="AdvPSA334" w:hAnsi="AdvPSA334" w:cs="AdvPSA334"/>
          <w:color w:val="0D0D0D" w:themeColor="text1" w:themeTint="F2"/>
          <w:sz w:val="24"/>
          <w:szCs w:val="24"/>
        </w:rPr>
        <w:t xml:space="preserve"> </w:t>
      </w:r>
      <w:proofErr w:type="spellStart"/>
      <w:r w:rsidRPr="0075530D">
        <w:rPr>
          <w:rFonts w:ascii="AdvPSA334" w:hAnsi="AdvPSA334" w:cs="AdvPSA334"/>
          <w:color w:val="0D0D0D" w:themeColor="text1" w:themeTint="F2"/>
          <w:sz w:val="24"/>
          <w:szCs w:val="24"/>
        </w:rPr>
        <w:t>Gynecol</w:t>
      </w:r>
      <w:proofErr w:type="spellEnd"/>
      <w:r w:rsidRPr="0075530D">
        <w:rPr>
          <w:rFonts w:ascii="AdvPSA334" w:hAnsi="AdvPSA334" w:cs="AdvPSA334"/>
          <w:color w:val="0D0D0D" w:themeColor="text1" w:themeTint="F2"/>
          <w:sz w:val="24"/>
          <w:szCs w:val="24"/>
        </w:rPr>
        <w:t xml:space="preserve"> </w:t>
      </w:r>
      <w:proofErr w:type="spellStart"/>
      <w:r w:rsidRPr="0075530D">
        <w:rPr>
          <w:rFonts w:ascii="AdvPSA334" w:hAnsi="AdvPSA334" w:cs="AdvPSA334"/>
          <w:color w:val="0D0D0D" w:themeColor="text1" w:themeTint="F2"/>
          <w:sz w:val="24"/>
          <w:szCs w:val="24"/>
        </w:rPr>
        <w:t>Clin</w:t>
      </w:r>
      <w:proofErr w:type="spellEnd"/>
      <w:r w:rsidRPr="0075530D">
        <w:rPr>
          <w:rFonts w:ascii="AdvPSA334" w:hAnsi="AdvPSA334" w:cs="AdvPSA334"/>
          <w:color w:val="0D0D0D" w:themeColor="text1" w:themeTint="F2"/>
          <w:sz w:val="24"/>
          <w:szCs w:val="24"/>
        </w:rPr>
        <w:t xml:space="preserve"> N Am 44 (2017) 285–296.</w:t>
      </w:r>
    </w:p>
    <w:p w:rsidR="0075530D" w:rsidRPr="007D7103" w:rsidRDefault="0075530D" w:rsidP="007D710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dvOT7fe89a09" w:hAnsi="AdvOT7fe89a09" w:cs="AdvOT7fe89a09"/>
          <w:color w:val="0D0D0D" w:themeColor="text1" w:themeTint="F2"/>
          <w:sz w:val="24"/>
          <w:szCs w:val="24"/>
        </w:rPr>
      </w:pPr>
      <w:r w:rsidRPr="007D7103">
        <w:rPr>
          <w:rFonts w:ascii="AdvOT7fe89a09" w:hAnsi="AdvOT7fe89a09" w:cs="AdvOT7fe89a09"/>
          <w:color w:val="0D0D0D" w:themeColor="text1" w:themeTint="F2"/>
          <w:sz w:val="24"/>
          <w:szCs w:val="24"/>
        </w:rPr>
        <w:t xml:space="preserve">Sheila </w:t>
      </w:r>
      <w:proofErr w:type="spellStart"/>
      <w:r w:rsidRPr="007D7103">
        <w:rPr>
          <w:rFonts w:ascii="AdvOT7fe89a09" w:hAnsi="AdvOT7fe89a09" w:cs="AdvOT7fe89a09"/>
          <w:color w:val="0D0D0D" w:themeColor="text1" w:themeTint="F2"/>
          <w:sz w:val="24"/>
          <w:szCs w:val="24"/>
        </w:rPr>
        <w:t>O</w:t>
      </w:r>
      <w:r w:rsidRPr="007D7103">
        <w:rPr>
          <w:rFonts w:ascii="AdvOT7fe89a09+20" w:hAnsi="AdvOT7fe89a09+20" w:cs="AdvOT7fe89a09+20"/>
          <w:color w:val="0D0D0D" w:themeColor="text1" w:themeTint="F2"/>
          <w:sz w:val="24"/>
          <w:szCs w:val="24"/>
        </w:rPr>
        <w:t>’</w:t>
      </w:r>
      <w:r w:rsidRPr="007D7103">
        <w:rPr>
          <w:rFonts w:ascii="AdvOT7fe89a09" w:hAnsi="AdvOT7fe89a09" w:cs="AdvOT7fe89a09"/>
          <w:color w:val="0D0D0D" w:themeColor="text1" w:themeTint="F2"/>
          <w:sz w:val="24"/>
          <w:szCs w:val="24"/>
        </w:rPr>
        <w:t>Neill.</w:t>
      </w:r>
      <w:r w:rsidRPr="007D7103">
        <w:rPr>
          <w:rFonts w:ascii="AdvOTd1f5cc91.B" w:hAnsi="AdvOTd1f5cc91.B" w:cs="AdvOTd1f5cc91.B"/>
          <w:color w:val="0D0D0D" w:themeColor="text1" w:themeTint="F2"/>
          <w:sz w:val="24"/>
          <w:szCs w:val="24"/>
        </w:rPr>
        <w:t>The</w:t>
      </w:r>
      <w:proofErr w:type="spellEnd"/>
      <w:r w:rsidRPr="007D7103">
        <w:rPr>
          <w:rFonts w:ascii="AdvOTd1f5cc91.B" w:hAnsi="AdvOTd1f5cc91.B" w:cs="AdvOTd1f5cc91.B"/>
          <w:color w:val="0D0D0D" w:themeColor="text1" w:themeTint="F2"/>
          <w:sz w:val="24"/>
          <w:szCs w:val="24"/>
        </w:rPr>
        <w:t xml:space="preserve"> pathophysiology of</w:t>
      </w:r>
      <w:r w:rsidRPr="007D7103">
        <w:rPr>
          <w:rFonts w:ascii="AdvPSA183" w:hAnsi="AdvPSA183" w:cs="AdvPSA183"/>
          <w:color w:val="0D0D0D" w:themeColor="text1" w:themeTint="F2"/>
          <w:sz w:val="24"/>
          <w:szCs w:val="24"/>
        </w:rPr>
        <w:t xml:space="preserve"> </w:t>
      </w:r>
      <w:r w:rsidRPr="007D7103">
        <w:rPr>
          <w:rFonts w:ascii="AdvOTd1f5cc91.B" w:hAnsi="AdvOTd1f5cc91.B" w:cs="AdvOTd1f5cc91.B"/>
          <w:color w:val="0D0D0D" w:themeColor="text1" w:themeTint="F2"/>
          <w:sz w:val="24"/>
          <w:szCs w:val="24"/>
        </w:rPr>
        <w:t>menopausal symptoms.</w:t>
      </w:r>
      <w:r w:rsidRPr="007D7103">
        <w:rPr>
          <w:rFonts w:ascii="AdvOT7fe89a09" w:hAnsi="AdvOT7fe89a09" w:cs="AdvOT7fe89a09"/>
          <w:color w:val="0D0D0D" w:themeColor="text1" w:themeTint="F2"/>
          <w:sz w:val="24"/>
          <w:szCs w:val="24"/>
        </w:rPr>
        <w:t xml:space="preserve"> OBSTETRICS, GYNAECOLOGY AND REPRODUCTIVE MEDICINE journal 2017, 27:10</w:t>
      </w:r>
      <w:r w:rsidR="007D7103" w:rsidRPr="007D7103">
        <w:rPr>
          <w:rFonts w:ascii="AdvOT7fe89a09" w:hAnsi="AdvOT7fe89a09" w:cs="AdvOT7fe89a09"/>
          <w:color w:val="0D0D0D" w:themeColor="text1" w:themeTint="F2"/>
          <w:sz w:val="24"/>
          <w:szCs w:val="24"/>
        </w:rPr>
        <w:t>.</w:t>
      </w:r>
    </w:p>
    <w:p w:rsidR="007D7103" w:rsidRDefault="007D7103" w:rsidP="007D710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dvOTe737e158" w:hAnsi="AdvOTe737e158" w:cs="AdvOTe737e158"/>
          <w:color w:val="0D0D0D" w:themeColor="text1" w:themeTint="F2"/>
          <w:sz w:val="24"/>
          <w:szCs w:val="24"/>
        </w:rPr>
      </w:pPr>
      <w:proofErr w:type="spellStart"/>
      <w:r w:rsidRPr="007D7103">
        <w:rPr>
          <w:rFonts w:ascii="AdvOT106fdb58.B" w:hAnsi="AdvOT106fdb58.B" w:cs="AdvOT106fdb58.B"/>
          <w:color w:val="0D0D0D" w:themeColor="text1" w:themeTint="F2"/>
          <w:sz w:val="24"/>
          <w:szCs w:val="24"/>
        </w:rPr>
        <w:t>Shagaf</w:t>
      </w:r>
      <w:proofErr w:type="spellEnd"/>
      <w:r w:rsidRPr="007D7103">
        <w:rPr>
          <w:rFonts w:ascii="AdvOT106fdb58.B" w:hAnsi="AdvOT106fdb58.B" w:cs="AdvOT106fdb58.B"/>
          <w:color w:val="0D0D0D" w:themeColor="text1" w:themeTint="F2"/>
          <w:sz w:val="24"/>
          <w:szCs w:val="24"/>
        </w:rPr>
        <w:t xml:space="preserve"> H </w:t>
      </w:r>
      <w:proofErr w:type="spellStart"/>
      <w:r w:rsidRPr="007D7103">
        <w:rPr>
          <w:rFonts w:ascii="AdvOT106fdb58.B" w:hAnsi="AdvOT106fdb58.B" w:cs="AdvOT106fdb58.B"/>
          <w:color w:val="0D0D0D" w:themeColor="text1" w:themeTint="F2"/>
          <w:sz w:val="24"/>
          <w:szCs w:val="24"/>
        </w:rPr>
        <w:t>Bakour</w:t>
      </w:r>
      <w:proofErr w:type="spellEnd"/>
      <w:r w:rsidRPr="007D7103">
        <w:rPr>
          <w:rFonts w:ascii="AdvOT106fdb58.B" w:hAnsi="AdvOT106fdb58.B" w:cs="AdvOT106fdb58.B"/>
          <w:color w:val="0D0D0D" w:themeColor="text1" w:themeTint="F2"/>
          <w:sz w:val="24"/>
          <w:szCs w:val="24"/>
        </w:rPr>
        <w:t xml:space="preserve"> MD </w:t>
      </w:r>
      <w:proofErr w:type="spellStart"/>
      <w:r w:rsidRPr="007D7103">
        <w:rPr>
          <w:rFonts w:ascii="AdvOT106fdb58.B" w:hAnsi="AdvOT106fdb58.B" w:cs="AdvOT106fdb58.B"/>
          <w:color w:val="0D0D0D" w:themeColor="text1" w:themeTint="F2"/>
          <w:sz w:val="24"/>
          <w:szCs w:val="24"/>
        </w:rPr>
        <w:t>FRCOG</w:t>
      </w:r>
      <w:proofErr w:type="gramStart"/>
      <w:r w:rsidRPr="007D7103">
        <w:rPr>
          <w:rFonts w:ascii="AdvOT106fdb58.B" w:hAnsi="AdvOT106fdb58.B" w:cs="AdvOT106fdb58.B"/>
          <w:color w:val="0D0D0D" w:themeColor="text1" w:themeTint="F2"/>
          <w:sz w:val="24"/>
          <w:szCs w:val="24"/>
        </w:rPr>
        <w:t>,a</w:t>
      </w:r>
      <w:proofErr w:type="spellEnd"/>
      <w:proofErr w:type="gramEnd"/>
      <w:r w:rsidRPr="007D7103">
        <w:rPr>
          <w:rFonts w:ascii="AdvOT106fdb58.B" w:hAnsi="AdvOT106fdb58.B" w:cs="AdvOT106fdb58.B"/>
          <w:color w:val="0D0D0D" w:themeColor="text1" w:themeTint="F2"/>
          <w:sz w:val="24"/>
          <w:szCs w:val="24"/>
        </w:rPr>
        <w:t xml:space="preserve">,* Jennifer Williamson MB </w:t>
      </w:r>
      <w:proofErr w:type="spellStart"/>
      <w:r w:rsidRPr="007D7103">
        <w:rPr>
          <w:rFonts w:ascii="AdvOT106fdb58.B" w:hAnsi="AdvOT106fdb58.B" w:cs="AdvOT106fdb58.B"/>
          <w:color w:val="0D0D0D" w:themeColor="text1" w:themeTint="F2"/>
          <w:sz w:val="24"/>
          <w:szCs w:val="24"/>
        </w:rPr>
        <w:t>BCh</w:t>
      </w:r>
      <w:proofErr w:type="spellEnd"/>
      <w:r w:rsidRPr="007D7103">
        <w:rPr>
          <w:rFonts w:ascii="AdvOT106fdb58.B" w:hAnsi="AdvOT106fdb58.B" w:cs="AdvOT106fdb58.B"/>
          <w:color w:val="0D0D0D" w:themeColor="text1" w:themeTint="F2"/>
          <w:sz w:val="24"/>
          <w:szCs w:val="24"/>
        </w:rPr>
        <w:t xml:space="preserve"> BAO </w:t>
      </w:r>
      <w:proofErr w:type="spellStart"/>
      <w:r w:rsidRPr="007D7103">
        <w:rPr>
          <w:rFonts w:ascii="AdvOT106fdb58.B" w:hAnsi="AdvOT106fdb58.B" w:cs="AdvOT106fdb58.B"/>
          <w:color w:val="0D0D0D" w:themeColor="text1" w:themeTint="F2"/>
          <w:sz w:val="24"/>
          <w:szCs w:val="24"/>
        </w:rPr>
        <w:t>FFSRH</w:t>
      </w:r>
      <w:r w:rsidRPr="007D7103">
        <w:rPr>
          <w:rFonts w:ascii="AdvPSA183" w:hAnsi="AdvPSA183" w:cs="AdvPSA183"/>
          <w:color w:val="0D0D0D" w:themeColor="text1" w:themeTint="F2"/>
          <w:sz w:val="24"/>
          <w:szCs w:val="24"/>
        </w:rPr>
        <w:t>.</w:t>
      </w:r>
      <w:r w:rsidRPr="007D7103">
        <w:rPr>
          <w:rFonts w:ascii="AdvOTa51af33d" w:hAnsi="AdvOTa51af33d" w:cs="AdvOTa51af33d"/>
          <w:color w:val="0D0D0D" w:themeColor="text1" w:themeTint="F2"/>
          <w:sz w:val="24"/>
          <w:szCs w:val="24"/>
        </w:rPr>
        <w:t>Latest</w:t>
      </w:r>
      <w:proofErr w:type="spellEnd"/>
      <w:r w:rsidRPr="007D7103">
        <w:rPr>
          <w:rFonts w:ascii="AdvOTa51af33d" w:hAnsi="AdvOTa51af33d" w:cs="AdvOTa51af33d"/>
          <w:color w:val="0D0D0D" w:themeColor="text1" w:themeTint="F2"/>
          <w:sz w:val="24"/>
          <w:szCs w:val="24"/>
        </w:rPr>
        <w:t xml:space="preserve"> evidence on using hormone replacement therapy in</w:t>
      </w:r>
      <w:r w:rsidRPr="007D7103">
        <w:rPr>
          <w:rFonts w:ascii="AdvPSA183" w:hAnsi="AdvPSA183" w:cs="AdvPSA183"/>
          <w:color w:val="0D0D0D" w:themeColor="text1" w:themeTint="F2"/>
          <w:sz w:val="24"/>
          <w:szCs w:val="24"/>
        </w:rPr>
        <w:t xml:space="preserve"> </w:t>
      </w:r>
      <w:r w:rsidRPr="007D7103">
        <w:rPr>
          <w:rFonts w:ascii="AdvOTa51af33d" w:hAnsi="AdvOTa51af33d" w:cs="AdvOTa51af33d"/>
          <w:color w:val="0D0D0D" w:themeColor="text1" w:themeTint="F2"/>
          <w:sz w:val="24"/>
          <w:szCs w:val="24"/>
        </w:rPr>
        <w:t>the menopause.</w:t>
      </w:r>
      <w:r w:rsidRPr="007D7103">
        <w:rPr>
          <w:rFonts w:ascii="AdvOT106fdb58.B" w:hAnsi="AdvOT106fdb58.B" w:cs="AdvOT106fdb58.B"/>
          <w:color w:val="0D0D0D" w:themeColor="text1" w:themeTint="F2"/>
          <w:sz w:val="24"/>
          <w:szCs w:val="24"/>
        </w:rPr>
        <w:t xml:space="preserve"> The Obstetrician &amp; Gynecologist journal :</w:t>
      </w:r>
      <w:r w:rsidRPr="007D7103">
        <w:rPr>
          <w:rFonts w:ascii="AdvOTe737e158" w:hAnsi="AdvOTe737e158" w:cs="AdvOTe737e158"/>
          <w:color w:val="0D0D0D" w:themeColor="text1" w:themeTint="F2"/>
          <w:sz w:val="24"/>
          <w:szCs w:val="24"/>
        </w:rPr>
        <w:t xml:space="preserve"> 2015;17:20</w:t>
      </w:r>
      <w:r w:rsidRPr="007D7103">
        <w:rPr>
          <w:rFonts w:ascii="AdvOTe737e158+20" w:hAnsi="AdvOTe737e158+20" w:cs="AdvOTe737e158+20"/>
          <w:color w:val="0D0D0D" w:themeColor="text1" w:themeTint="F2"/>
          <w:sz w:val="24"/>
          <w:szCs w:val="24"/>
        </w:rPr>
        <w:t>–</w:t>
      </w:r>
      <w:r w:rsidRPr="007D7103">
        <w:rPr>
          <w:rFonts w:ascii="AdvOTe737e158" w:hAnsi="AdvOTe737e158" w:cs="AdvOTe737e158"/>
          <w:color w:val="0D0D0D" w:themeColor="text1" w:themeTint="F2"/>
          <w:sz w:val="24"/>
          <w:szCs w:val="24"/>
        </w:rPr>
        <w:t>8</w:t>
      </w:r>
    </w:p>
    <w:p w:rsidR="007D7103" w:rsidRPr="007D7103" w:rsidRDefault="007D7103" w:rsidP="007D710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dvOTe737e158" w:hAnsi="AdvOTe737e158" w:cs="AdvOTe737e158"/>
          <w:color w:val="0D0D0D" w:themeColor="text1" w:themeTint="F2"/>
          <w:sz w:val="24"/>
          <w:szCs w:val="24"/>
        </w:rPr>
      </w:pPr>
      <w:r w:rsidRPr="007D7103">
        <w:rPr>
          <w:rFonts w:ascii="AdvOT106fdb58.B" w:hAnsi="AdvOT106fdb58.B" w:cs="AdvOT106fdb58.B"/>
          <w:color w:val="0D0D0D" w:themeColor="text1" w:themeTint="F2"/>
          <w:sz w:val="24"/>
          <w:szCs w:val="24"/>
        </w:rPr>
        <w:t>Iris L Tong MD</w:t>
      </w:r>
      <w:r w:rsidRPr="007D7103">
        <w:rPr>
          <w:rFonts w:ascii="AdvPSA183" w:hAnsi="AdvPSA183" w:cs="AdvPSA183"/>
          <w:color w:val="0D0D0D" w:themeColor="text1" w:themeTint="F2"/>
          <w:sz w:val="24"/>
          <w:szCs w:val="24"/>
        </w:rPr>
        <w:t xml:space="preserve">. </w:t>
      </w:r>
      <w:proofErr w:type="spellStart"/>
      <w:r w:rsidRPr="007D7103">
        <w:rPr>
          <w:rFonts w:ascii="AdvOTa51af33d" w:hAnsi="AdvOTa51af33d" w:cs="AdvOTa51af33d"/>
          <w:color w:val="0D0D0D" w:themeColor="text1" w:themeTint="F2"/>
          <w:sz w:val="24"/>
          <w:szCs w:val="24"/>
        </w:rPr>
        <w:t>Nonpharmacological</w:t>
      </w:r>
      <w:proofErr w:type="spellEnd"/>
      <w:r w:rsidRPr="007D7103">
        <w:rPr>
          <w:rFonts w:ascii="AdvOTa51af33d" w:hAnsi="AdvOTa51af33d" w:cs="AdvOTa51af33d"/>
          <w:color w:val="0D0D0D" w:themeColor="text1" w:themeTint="F2"/>
          <w:sz w:val="24"/>
          <w:szCs w:val="24"/>
        </w:rPr>
        <w:t xml:space="preserve"> treatment of postmenopausal</w:t>
      </w:r>
      <w:r w:rsidRPr="007D7103">
        <w:rPr>
          <w:rFonts w:ascii="AdvPSA183" w:hAnsi="AdvPSA183" w:cs="AdvPSA183"/>
          <w:color w:val="0D0D0D" w:themeColor="text1" w:themeTint="F2"/>
          <w:sz w:val="24"/>
          <w:szCs w:val="24"/>
        </w:rPr>
        <w:t xml:space="preserve"> </w:t>
      </w:r>
      <w:r w:rsidRPr="007D7103">
        <w:rPr>
          <w:rFonts w:ascii="AdvOTa51af33d" w:hAnsi="AdvOTa51af33d" w:cs="AdvOTa51af33d"/>
          <w:color w:val="0D0D0D" w:themeColor="text1" w:themeTint="F2"/>
          <w:sz w:val="24"/>
          <w:szCs w:val="24"/>
        </w:rPr>
        <w:t>symptoms.</w:t>
      </w:r>
      <w:r w:rsidRPr="007D7103">
        <w:rPr>
          <w:rFonts w:ascii="AdvOT106fdb58.B" w:hAnsi="AdvOT106fdb58.B" w:cs="AdvOT106fdb58.B"/>
          <w:color w:val="0D0D0D" w:themeColor="text1" w:themeTint="F2"/>
          <w:sz w:val="24"/>
          <w:szCs w:val="24"/>
        </w:rPr>
        <w:t xml:space="preserve"> The Obstetrician &amp; Gynecologist journal :</w:t>
      </w:r>
      <w:r w:rsidRPr="007D7103">
        <w:rPr>
          <w:rFonts w:ascii="AdvOTe737e158" w:hAnsi="AdvOTe737e158" w:cs="AdvOTe737e158"/>
          <w:color w:val="0D0D0D" w:themeColor="text1" w:themeTint="F2"/>
          <w:sz w:val="24"/>
          <w:szCs w:val="24"/>
        </w:rPr>
        <w:t xml:space="preserve"> 2013: 15:19</w:t>
      </w:r>
      <w:r w:rsidRPr="007D7103">
        <w:rPr>
          <w:rFonts w:ascii="AdvOTe737e158+20" w:hAnsi="AdvOTe737e158+20" w:cs="AdvOTe737e158+20"/>
          <w:color w:val="0D0D0D" w:themeColor="text1" w:themeTint="F2"/>
          <w:sz w:val="24"/>
          <w:szCs w:val="24"/>
        </w:rPr>
        <w:t>–</w:t>
      </w:r>
      <w:r w:rsidRPr="007D7103">
        <w:rPr>
          <w:rFonts w:ascii="AdvOTe737e158" w:hAnsi="AdvOTe737e158" w:cs="AdvOTe737e158"/>
          <w:color w:val="0D0D0D" w:themeColor="text1" w:themeTint="F2"/>
          <w:sz w:val="24"/>
          <w:szCs w:val="24"/>
        </w:rPr>
        <w:t>25</w:t>
      </w:r>
    </w:p>
    <w:p w:rsidR="007D7103" w:rsidRPr="007D7103" w:rsidRDefault="007D7103" w:rsidP="007D710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dvPSA183" w:hAnsi="AdvPSA183" w:cs="AdvPSA183"/>
          <w:color w:val="0D0D0D" w:themeColor="text1" w:themeTint="F2"/>
          <w:sz w:val="24"/>
          <w:szCs w:val="24"/>
        </w:rPr>
      </w:pPr>
      <w:r w:rsidRPr="007D7103">
        <w:rPr>
          <w:rFonts w:ascii="Lato" w:hAnsi="Lato" w:cs="Lato"/>
          <w:color w:val="282828"/>
          <w:sz w:val="24"/>
          <w:szCs w:val="24"/>
        </w:rPr>
        <w:t>Menopause: diagnosis and management. NICE guideline: 12 November 2015</w:t>
      </w:r>
    </w:p>
    <w:sectPr w:rsidR="007D7103" w:rsidRPr="007D71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dvOTd1f5cc91.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PSA33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SA18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106fdb58.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8952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156ec77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SA33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7fe89a0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7fe89a09+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e737e15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a51af33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e737e158+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at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77494"/>
    <w:multiLevelType w:val="hybridMultilevel"/>
    <w:tmpl w:val="3F58A1CE"/>
    <w:lvl w:ilvl="0" w:tplc="BEFC6508">
      <w:start w:val="1"/>
      <w:numFmt w:val="decimal"/>
      <w:lvlText w:val="%1-"/>
      <w:lvlJc w:val="left"/>
      <w:pPr>
        <w:ind w:left="720" w:hanging="360"/>
      </w:pPr>
      <w:rPr>
        <w:rFonts w:ascii="AdvOTd1f5cc91.B" w:hAnsi="AdvOTd1f5cc91.B" w:cs="AdvOTd1f5cc91.B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F62B5"/>
    <w:multiLevelType w:val="hybridMultilevel"/>
    <w:tmpl w:val="3F58A1CE"/>
    <w:lvl w:ilvl="0" w:tplc="BEFC6508">
      <w:start w:val="1"/>
      <w:numFmt w:val="decimal"/>
      <w:lvlText w:val="%1-"/>
      <w:lvlJc w:val="left"/>
      <w:pPr>
        <w:ind w:left="720" w:hanging="360"/>
      </w:pPr>
      <w:rPr>
        <w:rFonts w:ascii="AdvOTd1f5cc91.B" w:hAnsi="AdvOTd1f5cc91.B" w:cs="AdvOTd1f5cc91.B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32597D"/>
    <w:multiLevelType w:val="hybridMultilevel"/>
    <w:tmpl w:val="3F58A1CE"/>
    <w:lvl w:ilvl="0" w:tplc="BEFC6508">
      <w:start w:val="1"/>
      <w:numFmt w:val="decimal"/>
      <w:lvlText w:val="%1-"/>
      <w:lvlJc w:val="left"/>
      <w:pPr>
        <w:ind w:left="720" w:hanging="360"/>
      </w:pPr>
      <w:rPr>
        <w:rFonts w:ascii="AdvOTd1f5cc91.B" w:hAnsi="AdvOTd1f5cc91.B" w:cs="AdvOTd1f5cc91.B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050C2"/>
    <w:multiLevelType w:val="hybridMultilevel"/>
    <w:tmpl w:val="3F58A1CE"/>
    <w:lvl w:ilvl="0" w:tplc="BEFC6508">
      <w:start w:val="1"/>
      <w:numFmt w:val="decimal"/>
      <w:lvlText w:val="%1-"/>
      <w:lvlJc w:val="left"/>
      <w:pPr>
        <w:ind w:left="720" w:hanging="360"/>
      </w:pPr>
      <w:rPr>
        <w:rFonts w:ascii="AdvOTd1f5cc91.B" w:hAnsi="AdvOTd1f5cc91.B" w:cs="AdvOTd1f5cc91.B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71D"/>
    <w:rsid w:val="00252FCA"/>
    <w:rsid w:val="006A28FE"/>
    <w:rsid w:val="0075530D"/>
    <w:rsid w:val="007D7103"/>
    <w:rsid w:val="00C32EF9"/>
    <w:rsid w:val="00C91FF2"/>
    <w:rsid w:val="00D22691"/>
    <w:rsid w:val="00D85A5E"/>
    <w:rsid w:val="00F2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53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53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MainUser</dc:creator>
  <cp:lastModifiedBy>MainUser</cp:lastModifiedBy>
  <cp:revision>5</cp:revision>
  <dcterms:created xsi:type="dcterms:W3CDTF">2017-11-25T18:18:00Z</dcterms:created>
  <dcterms:modified xsi:type="dcterms:W3CDTF">2017-11-26T10:56:00Z</dcterms:modified>
</cp:coreProperties>
</file>