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526" w:rsidRPr="00645630" w:rsidRDefault="00245526" w:rsidP="00645630">
      <w:pPr>
        <w:spacing w:line="360" w:lineRule="auto"/>
        <w:jc w:val="center"/>
        <w:rPr>
          <w:rFonts w:asciiTheme="majorBidi" w:hAnsiTheme="majorBidi" w:cstheme="majorBidi"/>
          <w:sz w:val="36"/>
          <w:szCs w:val="36"/>
          <w:lang w:bidi="ar-EG"/>
        </w:rPr>
      </w:pPr>
      <w:r w:rsidRPr="00645630">
        <w:rPr>
          <w:rFonts w:asciiTheme="majorBidi" w:hAnsiTheme="majorBidi" w:cstheme="majorBidi"/>
          <w:sz w:val="36"/>
          <w:szCs w:val="36"/>
          <w:lang w:bidi="ar-EG"/>
        </w:rPr>
        <w:t>Prognostic factors for surgical outcome and survival in women treated for borderline ovarian tumors</w:t>
      </w:r>
    </w:p>
    <w:p w:rsidR="00645630" w:rsidRPr="00645630" w:rsidRDefault="00645630" w:rsidP="00645630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color w:val="3F454C"/>
          <w:sz w:val="28"/>
          <w:szCs w:val="28"/>
        </w:rPr>
      </w:pPr>
      <w:r w:rsidRPr="00645630">
        <w:rPr>
          <w:rFonts w:asciiTheme="majorBidi" w:eastAsia="Times New Roman" w:hAnsiTheme="majorBidi" w:cstheme="majorBidi"/>
          <w:b/>
          <w:bCs/>
          <w:color w:val="3F454C"/>
          <w:sz w:val="28"/>
          <w:szCs w:val="28"/>
        </w:rPr>
        <w:t>Abstract</w:t>
      </w:r>
    </w:p>
    <w:p w:rsidR="00742477" w:rsidRPr="00742477" w:rsidRDefault="00742477" w:rsidP="00645630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color w:val="3F454C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color w:val="3F454C"/>
          <w:sz w:val="28"/>
          <w:szCs w:val="28"/>
        </w:rPr>
        <w:t>Keywords:</w:t>
      </w:r>
      <w:r w:rsidRPr="00742477"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</w:t>
      </w:r>
      <w:r>
        <w:rPr>
          <w:rFonts w:asciiTheme="majorBidi" w:eastAsia="Times New Roman" w:hAnsiTheme="majorBidi" w:cstheme="majorBidi"/>
          <w:color w:val="3F454C"/>
          <w:sz w:val="28"/>
          <w:szCs w:val="28"/>
        </w:rPr>
        <w:t>B</w:t>
      </w:r>
      <w:r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t>orderline ovarian tumours</w:t>
      </w:r>
      <w:bookmarkStart w:id="0" w:name="_GoBack"/>
      <w:r w:rsidRPr="00742477">
        <w:rPr>
          <w:rFonts w:asciiTheme="majorBidi" w:eastAsia="Times New Roman" w:hAnsiTheme="majorBidi" w:cstheme="majorBidi"/>
          <w:color w:val="3F454C"/>
          <w:sz w:val="28"/>
          <w:szCs w:val="28"/>
        </w:rPr>
        <w:t>, recurrence, survival.</w:t>
      </w:r>
    </w:p>
    <w:bookmarkEnd w:id="0"/>
    <w:p w:rsidR="00645630" w:rsidRPr="00645630" w:rsidRDefault="00645630" w:rsidP="00645630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color w:val="3F454C"/>
          <w:sz w:val="28"/>
          <w:szCs w:val="28"/>
        </w:rPr>
      </w:pPr>
      <w:r w:rsidRPr="00645630">
        <w:rPr>
          <w:rFonts w:asciiTheme="majorBidi" w:eastAsia="Times New Roman" w:hAnsiTheme="majorBidi" w:cstheme="majorBidi"/>
          <w:b/>
          <w:bCs/>
          <w:color w:val="3F454C"/>
          <w:sz w:val="28"/>
          <w:szCs w:val="28"/>
        </w:rPr>
        <w:t>Objectives</w:t>
      </w:r>
    </w:p>
    <w:p w:rsidR="00645630" w:rsidRPr="00645630" w:rsidRDefault="00645630" w:rsidP="00645630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color w:val="3F454C"/>
          <w:sz w:val="28"/>
          <w:szCs w:val="28"/>
        </w:rPr>
      </w:pPr>
      <w:r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      </w:t>
      </w:r>
      <w:r w:rsidR="00E115E8"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t>The aim of the study was to evaluate the clinicopathological features and modalities of treatment affecting recurrence and survival in patients with borderline ovarian tumours</w:t>
      </w:r>
      <w:r>
        <w:rPr>
          <w:rFonts w:asciiTheme="majorBidi" w:eastAsia="Times New Roman" w:hAnsiTheme="majorBidi" w:cstheme="majorBidi"/>
          <w:color w:val="3F454C"/>
          <w:sz w:val="28"/>
          <w:szCs w:val="28"/>
        </w:rPr>
        <w:t>.</w:t>
      </w:r>
    </w:p>
    <w:p w:rsidR="00E115E8" w:rsidRPr="00645630" w:rsidRDefault="00E115E8" w:rsidP="00645630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color w:val="3F454C"/>
          <w:sz w:val="28"/>
          <w:szCs w:val="28"/>
        </w:rPr>
      </w:pPr>
      <w:r w:rsidRPr="00645630">
        <w:rPr>
          <w:rFonts w:asciiTheme="majorBidi" w:eastAsia="Times New Roman" w:hAnsiTheme="majorBidi" w:cstheme="majorBidi"/>
          <w:b/>
          <w:bCs/>
          <w:color w:val="3F454C"/>
          <w:sz w:val="28"/>
          <w:szCs w:val="28"/>
        </w:rPr>
        <w:t>Methods</w:t>
      </w:r>
      <w:r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</w:t>
      </w:r>
    </w:p>
    <w:p w:rsidR="00645630" w:rsidRPr="00645630" w:rsidRDefault="00645630" w:rsidP="00645630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color w:val="3F454C"/>
          <w:sz w:val="28"/>
          <w:szCs w:val="28"/>
        </w:rPr>
      </w:pPr>
      <w:r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      </w:t>
      </w:r>
      <w:r w:rsidR="00E115E8"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t>Data of 92 patients diagnosed with borderline ovarian tumours (BOTs) during the period from 2010 to 2017 in the National Cancer Institute (NCI), Cairo University, Egypt were retrospectively evaluated.</w:t>
      </w:r>
    </w:p>
    <w:p w:rsidR="00E115E8" w:rsidRPr="00645630" w:rsidRDefault="00E115E8" w:rsidP="00645630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color w:val="3F454C"/>
          <w:sz w:val="28"/>
          <w:szCs w:val="28"/>
        </w:rPr>
      </w:pPr>
      <w:r w:rsidRPr="00645630">
        <w:rPr>
          <w:rFonts w:asciiTheme="majorBidi" w:eastAsia="Times New Roman" w:hAnsiTheme="majorBidi" w:cstheme="majorBidi"/>
          <w:b/>
          <w:bCs/>
          <w:color w:val="3F454C"/>
          <w:sz w:val="28"/>
          <w:szCs w:val="28"/>
        </w:rPr>
        <w:t>Results</w:t>
      </w:r>
      <w:r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</w:t>
      </w:r>
    </w:p>
    <w:p w:rsidR="00E115E8" w:rsidRPr="00645630" w:rsidRDefault="00645630" w:rsidP="00645630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color w:val="3F454C"/>
          <w:sz w:val="28"/>
          <w:szCs w:val="28"/>
        </w:rPr>
      </w:pPr>
      <w:r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       </w:t>
      </w:r>
      <w:r w:rsidR="00E115E8"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Median follow up period was 42 months. The mean age at diagnosis was 42.7 yrs. Histopathology was serous in 63%, mucinous in 28.3%, and endometrioid in 3.3%. 65 patients (70.7%) had Stage IA disease, 17 patients had Stage IB disease (18.5%), 4 patients had Stage IC disease (4.3%), 2 patients had Stage II disease (2.2%) and 4 patients had Stage III disease (4.3%) at diagnosis .49 patients (53.3%) underwent fertility sparing surgery, of which 19 patients underwent Unilateral ovarian cystectomy, 5 patients underwent Bilateral ovarian cystectomy, 25 underwent Unilateral salpingo-oopherectomy.43 patients (46.7%) underwent </w:t>
      </w:r>
      <w:r w:rsidR="00E115E8"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lastRenderedPageBreak/>
        <w:t>radical surgery including h</w:t>
      </w:r>
      <w:r w:rsidR="00742477">
        <w:rPr>
          <w:rFonts w:asciiTheme="majorBidi" w:eastAsia="Times New Roman" w:hAnsiTheme="majorBidi" w:cstheme="majorBidi"/>
          <w:color w:val="3F454C"/>
          <w:sz w:val="28"/>
          <w:szCs w:val="28"/>
        </w:rPr>
        <w:t>ysterectomy, bilateral salpingo-</w:t>
      </w:r>
      <w:r w:rsidR="00E115E8"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t>oopherectomy.39 patients had micropapillary disease (42 %) and 2 patients had microinvasive disease (2.2%) on histopathology.6 patients (6.5 %) had peritoneal implants of which 1 was invasive and 5 were non-invasive.</w:t>
      </w:r>
      <w:r w:rsidR="00742477"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</w:t>
      </w:r>
      <w:r w:rsidR="00E115E8"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t>Recurrence rate in the entire study group was 18.5</w:t>
      </w:r>
      <w:proofErr w:type="gramStart"/>
      <w:r w:rsidR="00E115E8"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t>% ,</w:t>
      </w:r>
      <w:proofErr w:type="gramEnd"/>
      <w:r w:rsidR="00E115E8"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17.6% among patients underwent radical surgery and 82.4% among patients underwent fertility sparing surgery.12 of the recurrences (70.6%) were borderline whereas 5 were invasive (29.4%).Stages IA and IB had significantly higher disease free survival than other stages.</w:t>
      </w:r>
      <w:r w:rsidR="00742477"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</w:t>
      </w:r>
      <w:r w:rsidR="00E115E8"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t>Patients with micro invasion had significantly lower free disease free survival 10.5 (9.52 – 11.5) Vs77.6 (70.9 – 84.1) .Radical surgery had significantly higher FDS than fertility sparing surgery 75.8 (70.2 – 81.4) Vs 68.5(58.2 – 78.8) .</w:t>
      </w:r>
    </w:p>
    <w:p w:rsidR="00E115E8" w:rsidRPr="00645630" w:rsidRDefault="00E115E8" w:rsidP="00645630">
      <w:pPr>
        <w:spacing w:after="0" w:line="360" w:lineRule="auto"/>
        <w:jc w:val="both"/>
        <w:rPr>
          <w:rFonts w:asciiTheme="majorBidi" w:eastAsia="Times New Roman" w:hAnsiTheme="majorBidi" w:cstheme="majorBidi"/>
          <w:color w:val="3F454C"/>
          <w:sz w:val="28"/>
          <w:szCs w:val="28"/>
        </w:rPr>
      </w:pPr>
      <w:r w:rsidRPr="00645630">
        <w:rPr>
          <w:rFonts w:asciiTheme="majorBidi" w:eastAsia="Times New Roman" w:hAnsiTheme="majorBidi" w:cstheme="majorBidi"/>
          <w:b/>
          <w:bCs/>
          <w:color w:val="3F454C"/>
          <w:sz w:val="28"/>
          <w:szCs w:val="28"/>
        </w:rPr>
        <w:t>Conclusions</w:t>
      </w:r>
      <w:r w:rsidRPr="00645630"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</w:t>
      </w:r>
    </w:p>
    <w:p w:rsidR="00E115E8" w:rsidRPr="00645630" w:rsidRDefault="00645630" w:rsidP="00645630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color w:val="3F454C"/>
          <w:sz w:val="28"/>
          <w:szCs w:val="28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      </w:t>
      </w:r>
      <w:r w:rsidR="00E115E8" w:rsidRPr="00645630">
        <w:rPr>
          <w:rFonts w:asciiTheme="majorBidi" w:eastAsia="Times New Roman" w:hAnsiTheme="majorBidi" w:cstheme="majorBidi"/>
          <w:color w:val="000000"/>
          <w:sz w:val="28"/>
          <w:szCs w:val="28"/>
        </w:rPr>
        <w:t>The results of our study underline the good prognosis of patients with BOTs, although relapse and transformation into invasive disease may occur even after a long period of time. The treatment of BOTs should be oriented on individual criteria of the patient and tumor. Prolonged follow-up is required to detect patients at risk of relapse and to select appropriate treatment for them.</w:t>
      </w:r>
    </w:p>
    <w:p w:rsidR="0012229E" w:rsidRPr="00645630" w:rsidRDefault="0012229E" w:rsidP="00742477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sectPr w:rsidR="0012229E" w:rsidRPr="00645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313"/>
    <w:rsid w:val="0012229E"/>
    <w:rsid w:val="00245526"/>
    <w:rsid w:val="00645630"/>
    <w:rsid w:val="00742477"/>
    <w:rsid w:val="00A77313"/>
    <w:rsid w:val="00E1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504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3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3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75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29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Doctor</cp:lastModifiedBy>
  <cp:revision>5</cp:revision>
  <dcterms:created xsi:type="dcterms:W3CDTF">2018-08-09T11:58:00Z</dcterms:created>
  <dcterms:modified xsi:type="dcterms:W3CDTF">2018-08-08T17:51:00Z</dcterms:modified>
</cp:coreProperties>
</file>