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ED0" w:rsidRDefault="00E16ED0" w:rsidP="00E16ED0">
      <w:pPr>
        <w:spacing w:after="0" w:line="360" w:lineRule="atLeast"/>
        <w:rPr>
          <w:rFonts w:ascii="Arial" w:eastAsia="Times New Roman" w:hAnsi="Arial" w:cs="Arial"/>
          <w:color w:val="000000"/>
          <w:sz w:val="20"/>
          <w:szCs w:val="20"/>
        </w:rPr>
      </w:pPr>
      <w:r w:rsidRPr="00E16ED0">
        <w:rPr>
          <w:rFonts w:ascii="Arial" w:eastAsia="Times New Roman" w:hAnsi="Arial" w:cs="Arial"/>
          <w:b/>
          <w:bCs/>
          <w:color w:val="000000"/>
          <w:sz w:val="20"/>
          <w:szCs w:val="20"/>
        </w:rPr>
        <w:t>Burden of Gene Mutations in Caribbean Women with Breast Cancer</w:t>
      </w:r>
      <w:r w:rsidRPr="00E16ED0">
        <w:rPr>
          <w:rFonts w:ascii="Arial" w:eastAsia="Times New Roman" w:hAnsi="Arial" w:cs="Arial"/>
          <w:color w:val="000000"/>
          <w:sz w:val="20"/>
          <w:szCs w:val="20"/>
        </w:rPr>
        <w:br/>
      </w:r>
      <w:r w:rsidRPr="00E16ED0">
        <w:rPr>
          <w:rFonts w:ascii="Arial" w:eastAsia="Times New Roman" w:hAnsi="Arial" w:cs="Arial"/>
          <w:i/>
          <w:iCs/>
          <w:color w:val="000000"/>
          <w:sz w:val="20"/>
          <w:szCs w:val="20"/>
          <w:u w:val="single"/>
        </w:rPr>
        <w:t>Edwin Chiu</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Gordon Moffat</w:t>
      </w:r>
      <w:r w:rsidR="000E456D">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xml:space="preserve">, </w:t>
      </w:r>
      <w:proofErr w:type="spellStart"/>
      <w:r w:rsidRPr="00E16ED0">
        <w:rPr>
          <w:rFonts w:ascii="Arial" w:eastAsia="Times New Roman" w:hAnsi="Arial" w:cs="Arial"/>
          <w:i/>
          <w:iCs/>
          <w:color w:val="000000"/>
          <w:sz w:val="20"/>
          <w:szCs w:val="20"/>
        </w:rPr>
        <w:t>Iuliana</w:t>
      </w:r>
      <w:proofErr w:type="spellEnd"/>
      <w:r w:rsidRPr="00E16ED0">
        <w:rPr>
          <w:rFonts w:ascii="Arial" w:eastAsia="Times New Roman" w:hAnsi="Arial" w:cs="Arial"/>
          <w:i/>
          <w:iCs/>
          <w:color w:val="000000"/>
          <w:sz w:val="20"/>
          <w:szCs w:val="20"/>
        </w:rPr>
        <w:t xml:space="preserve"> Shapira</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br/>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Department Hematology/Oncology, SUNY Downstate Medical Center, Bro</w:t>
      </w:r>
      <w:r w:rsidR="000E456D">
        <w:rPr>
          <w:rFonts w:ascii="Arial" w:eastAsia="Times New Roman" w:hAnsi="Arial" w:cs="Arial"/>
          <w:i/>
          <w:iCs/>
          <w:color w:val="000000"/>
          <w:sz w:val="20"/>
          <w:szCs w:val="20"/>
        </w:rPr>
        <w:t>oklyn, New York, United States</w:t>
      </w:r>
    </w:p>
    <w:p w:rsidR="00E16ED0" w:rsidRPr="00E16ED0" w:rsidRDefault="00E16ED0" w:rsidP="00E16ED0">
      <w:pPr>
        <w:spacing w:after="0" w:line="360" w:lineRule="atLeast"/>
        <w:rPr>
          <w:rFonts w:ascii="Arial" w:eastAsia="Times New Roman" w:hAnsi="Arial" w:cs="Arial"/>
          <w:color w:val="000000"/>
          <w:sz w:val="20"/>
          <w:szCs w:val="20"/>
        </w:rPr>
      </w:pP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Purpose of Study</w:t>
      </w:r>
      <w:r w:rsidR="007B3D16">
        <w:rPr>
          <w:rFonts w:ascii="Arial" w:eastAsia="Times New Roman" w:hAnsi="Arial" w:cs="Arial"/>
          <w:b/>
          <w:bCs/>
          <w:color w:val="000000"/>
          <w:sz w:val="20"/>
          <w:szCs w:val="20"/>
        </w:rPr>
        <w:t>:</w:t>
      </w:r>
      <w:r w:rsidRPr="00E16ED0">
        <w:rPr>
          <w:rFonts w:ascii="Arial" w:eastAsia="Times New Roman" w:hAnsi="Arial" w:cs="Arial"/>
          <w:color w:val="000000"/>
          <w:sz w:val="20"/>
          <w:szCs w:val="20"/>
        </w:rPr>
        <w:t xml:space="preserve"> Identifying mutations in breast cancer genes (BRCA1</w:t>
      </w:r>
      <w:r w:rsidR="00912F39">
        <w:rPr>
          <w:rFonts w:ascii="Arial" w:eastAsia="Times New Roman" w:hAnsi="Arial" w:cs="Arial"/>
          <w:color w:val="000000"/>
          <w:sz w:val="20"/>
          <w:szCs w:val="20"/>
        </w:rPr>
        <w:t>/2</w:t>
      </w:r>
      <w:r w:rsidRPr="00E16ED0">
        <w:rPr>
          <w:rFonts w:ascii="Arial" w:eastAsia="Times New Roman" w:hAnsi="Arial" w:cs="Arial"/>
          <w:color w:val="000000"/>
          <w:sz w:val="20"/>
          <w:szCs w:val="20"/>
        </w:rPr>
        <w:t xml:space="preserve">, PABL2) has important clinical implications on a woman's lifetime susceptibility </w:t>
      </w:r>
      <w:r w:rsidR="00541BCE">
        <w:rPr>
          <w:rFonts w:ascii="Arial" w:eastAsia="Times New Roman" w:hAnsi="Arial" w:cs="Arial"/>
          <w:color w:val="000000"/>
          <w:sz w:val="20"/>
          <w:szCs w:val="20"/>
        </w:rPr>
        <w:t>for</w:t>
      </w:r>
      <w:r w:rsidRPr="00E16ED0">
        <w:rPr>
          <w:rFonts w:ascii="Arial" w:eastAsia="Times New Roman" w:hAnsi="Arial" w:cs="Arial"/>
          <w:color w:val="000000"/>
          <w:sz w:val="20"/>
          <w:szCs w:val="20"/>
        </w:rPr>
        <w:t xml:space="preserve"> breast cancer development. Nearly 10% of immigrants to the United States come from the Caribbean and few studies exist that examine breast cancer gene mutations in African-Caribbean women with existing breast cancer. The purpose is to review breast cancer epidemiology statistics and prevalence of breast cancer genetic mutations in this cohort.</w:t>
      </w:r>
      <w:r w:rsidRPr="00E16ED0">
        <w:rPr>
          <w:rFonts w:ascii="Arial" w:eastAsia="Times New Roman" w:hAnsi="Arial" w:cs="Arial"/>
          <w:color w:val="000000"/>
          <w:sz w:val="20"/>
          <w:szCs w:val="20"/>
        </w:rPr>
        <w:br/>
      </w: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Summary of Results</w:t>
      </w:r>
      <w:r w:rsidRPr="00E16ED0">
        <w:rPr>
          <w:rFonts w:ascii="Arial" w:eastAsia="Times New Roman" w:hAnsi="Arial" w:cs="Arial"/>
          <w:color w:val="000000"/>
          <w:sz w:val="20"/>
          <w:szCs w:val="20"/>
        </w:rPr>
        <w:t xml:space="preserve"> Although </w:t>
      </w:r>
      <w:r w:rsidR="00541BCE">
        <w:rPr>
          <w:rFonts w:ascii="Arial" w:eastAsia="Times New Roman" w:hAnsi="Arial" w:cs="Arial"/>
          <w:color w:val="000000"/>
          <w:sz w:val="20"/>
          <w:szCs w:val="20"/>
        </w:rPr>
        <w:t>br</w:t>
      </w:r>
      <w:r w:rsidRPr="00E16ED0">
        <w:rPr>
          <w:rFonts w:ascii="Arial" w:eastAsia="Times New Roman" w:hAnsi="Arial" w:cs="Arial"/>
          <w:color w:val="000000"/>
          <w:sz w:val="20"/>
          <w:szCs w:val="20"/>
        </w:rPr>
        <w:t xml:space="preserve">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ancer cumulative incidence risk of Caribbean women (5-9%) appear to be less than that of the US women (10%), the cumulative mortality risk in the Caribbean cohort (up to 2.7%) appears greater than that of the US (1.6%). Through a PUBMED literature search, we have also identified five </w:t>
      </w:r>
      <w:r w:rsidR="00541BCE">
        <w:rPr>
          <w:rFonts w:ascii="Arial" w:eastAsia="Times New Roman" w:hAnsi="Arial" w:cs="Arial"/>
          <w:color w:val="000000"/>
          <w:sz w:val="20"/>
          <w:szCs w:val="20"/>
        </w:rPr>
        <w:t>c</w:t>
      </w:r>
      <w:r w:rsidR="00912F39">
        <w:rPr>
          <w:rFonts w:ascii="Arial" w:eastAsia="Times New Roman" w:hAnsi="Arial" w:cs="Arial"/>
          <w:color w:val="000000"/>
          <w:sz w:val="20"/>
          <w:szCs w:val="20"/>
        </w:rPr>
        <w:t>ross-</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ectional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ohort </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tudies on </w:t>
      </w:r>
      <w:r w:rsidR="00541BCE">
        <w:rPr>
          <w:rFonts w:ascii="Arial" w:eastAsia="Times New Roman" w:hAnsi="Arial" w:cs="Arial"/>
          <w:color w:val="000000"/>
          <w:sz w:val="20"/>
          <w:szCs w:val="20"/>
        </w:rPr>
        <w:t>b</w:t>
      </w:r>
      <w:r w:rsidRPr="00E16ED0">
        <w:rPr>
          <w:rFonts w:ascii="Arial" w:eastAsia="Times New Roman" w:hAnsi="Arial" w:cs="Arial"/>
          <w:color w:val="000000"/>
          <w:sz w:val="20"/>
          <w:szCs w:val="20"/>
        </w:rPr>
        <w:t xml:space="preserve">reast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ancer patients of Caribbean women who have undergone genetic mutation testing for BRCA1</w:t>
      </w:r>
      <w:r w:rsidR="00912F39">
        <w:rPr>
          <w:rFonts w:ascii="Arial" w:eastAsia="Times New Roman" w:hAnsi="Arial" w:cs="Arial"/>
          <w:color w:val="000000"/>
          <w:sz w:val="20"/>
          <w:szCs w:val="20"/>
        </w:rPr>
        <w:t>/</w:t>
      </w:r>
      <w:r w:rsidRPr="00E16ED0">
        <w:rPr>
          <w:rFonts w:ascii="Arial" w:eastAsia="Times New Roman" w:hAnsi="Arial" w:cs="Arial"/>
          <w:color w:val="000000"/>
          <w:sz w:val="20"/>
          <w:szCs w:val="20"/>
        </w:rPr>
        <w:t>2 and PALB2 with 27% cases in Bahamas (N=214 women); 2.8% cases in Jamaica (N=179 women); 10.4% cases in Trinidad/Tobago (N=268 women); none in Barbados (N=118 women); 2.6% in Cuba (N=307 women). No study accounted for ascertainment bias.</w:t>
      </w:r>
      <w:r w:rsidRPr="00E16ED0">
        <w:rPr>
          <w:rFonts w:ascii="Arial" w:eastAsia="Times New Roman" w:hAnsi="Arial" w:cs="Arial"/>
          <w:color w:val="000000"/>
          <w:sz w:val="20"/>
          <w:szCs w:val="20"/>
        </w:rPr>
        <w:br/>
      </w:r>
    </w:p>
    <w:p w:rsidR="0055019D" w:rsidRDefault="00E16ED0" w:rsidP="00E16ED0">
      <w:pPr>
        <w:rPr>
          <w:rFonts w:ascii="Arial" w:eastAsia="Times New Roman" w:hAnsi="Arial" w:cs="Arial"/>
          <w:color w:val="000000"/>
          <w:sz w:val="20"/>
          <w:szCs w:val="20"/>
        </w:rPr>
      </w:pPr>
      <w:r w:rsidRPr="00E16ED0">
        <w:rPr>
          <w:rFonts w:ascii="Arial" w:eastAsia="Times New Roman" w:hAnsi="Arial" w:cs="Arial"/>
          <w:b/>
          <w:bCs/>
          <w:color w:val="000000"/>
          <w:sz w:val="20"/>
          <w:szCs w:val="20"/>
        </w:rPr>
        <w:t>Conclusions</w:t>
      </w:r>
      <w:r w:rsidRPr="00E16ED0">
        <w:rPr>
          <w:rFonts w:ascii="Arial" w:eastAsia="Times New Roman" w:hAnsi="Arial" w:cs="Arial"/>
          <w:color w:val="000000"/>
          <w:sz w:val="20"/>
          <w:szCs w:val="20"/>
        </w:rPr>
        <w:t xml:space="preserve"> This study summarizes the estimate of breast cancer incidence and mortality in Caribbean women and known prevalence of BRCA1/2 and PALB2 breast cancer gene mutations in this cohort. This is critical as part of a formal genetic risk assessment and counseling of patients with breast cancer. Further research and understanding the contributions of inherited gene mutations will guide the optimal health policy in breast cancer screening and risk management.</w:t>
      </w:r>
    </w:p>
    <w:p w:rsidR="00E35C70" w:rsidRDefault="00E35C70" w:rsidP="00E35C70">
      <w:pPr>
        <w:spacing w:after="0" w:line="240" w:lineRule="auto"/>
        <w:rPr>
          <w:b/>
        </w:rPr>
      </w:pPr>
    </w:p>
    <w:p w:rsidR="00E35C70" w:rsidRDefault="00E35C70" w:rsidP="00E35C70">
      <w:pPr>
        <w:spacing w:after="0" w:line="240" w:lineRule="auto"/>
        <w:rPr>
          <w:b/>
        </w:rPr>
      </w:pPr>
      <w:r>
        <w:rPr>
          <w:b/>
        </w:rPr>
        <w:t>PUBLICATIONS</w:t>
      </w:r>
      <w:r>
        <w:rPr>
          <w:b/>
        </w:rPr>
        <w:t xml:space="preserve">: </w:t>
      </w:r>
    </w:p>
    <w:p w:rsidR="00E35C70" w:rsidRPr="00747436" w:rsidRDefault="00E35C70" w:rsidP="00E35C70">
      <w:pPr>
        <w:rPr>
          <w:sz w:val="16"/>
          <w:szCs w:val="16"/>
        </w:rPr>
      </w:pPr>
      <w:r w:rsidRPr="00747436">
        <w:rPr>
          <w:sz w:val="16"/>
          <w:szCs w:val="16"/>
        </w:rPr>
        <w:t>Phillips AA et al. Cancer incidence and mortality in the Caribbean. Cancer Invest. 2007 Sep</w:t>
      </w:r>
      <w:proofErr w:type="gramStart"/>
      <w:r w:rsidRPr="00747436">
        <w:rPr>
          <w:sz w:val="16"/>
          <w:szCs w:val="16"/>
        </w:rPr>
        <w:t>;25</w:t>
      </w:r>
      <w:proofErr w:type="gramEnd"/>
      <w:r w:rsidRPr="00747436">
        <w:rPr>
          <w:sz w:val="16"/>
          <w:szCs w:val="16"/>
        </w:rPr>
        <w:t>(6):476-83.</w:t>
      </w:r>
    </w:p>
    <w:p w:rsidR="00E35C70" w:rsidRPr="00747436" w:rsidRDefault="00E35C70" w:rsidP="00E35C70">
      <w:pPr>
        <w:rPr>
          <w:sz w:val="16"/>
          <w:szCs w:val="16"/>
        </w:rPr>
      </w:pPr>
      <w:r w:rsidRPr="00747436">
        <w:rPr>
          <w:sz w:val="16"/>
          <w:szCs w:val="16"/>
        </w:rPr>
        <w:t xml:space="preserve">Torre LA, Siegel RL, Ward EM, and </w:t>
      </w:r>
      <w:proofErr w:type="spellStart"/>
      <w:r w:rsidRPr="00747436">
        <w:rPr>
          <w:sz w:val="16"/>
          <w:szCs w:val="16"/>
        </w:rPr>
        <w:t>Jemal</w:t>
      </w:r>
      <w:proofErr w:type="spellEnd"/>
      <w:r w:rsidRPr="00747436">
        <w:rPr>
          <w:sz w:val="16"/>
          <w:szCs w:val="16"/>
        </w:rPr>
        <w:t xml:space="preserve"> A. Global Cancer Incidence and Mortality Rates and Trends--An Update. Cancer </w:t>
      </w:r>
      <w:proofErr w:type="spellStart"/>
      <w:r w:rsidRPr="00747436">
        <w:rPr>
          <w:sz w:val="16"/>
          <w:szCs w:val="16"/>
        </w:rPr>
        <w:t>Epidemiol</w:t>
      </w:r>
      <w:proofErr w:type="spellEnd"/>
      <w:r w:rsidRPr="00747436">
        <w:rPr>
          <w:sz w:val="16"/>
          <w:szCs w:val="16"/>
        </w:rPr>
        <w:t xml:space="preserve"> Biomarkers Prev. 2016 Jan</w:t>
      </w:r>
      <w:proofErr w:type="gramStart"/>
      <w:r w:rsidRPr="00747436">
        <w:rPr>
          <w:sz w:val="16"/>
          <w:szCs w:val="16"/>
        </w:rPr>
        <w:t>;25</w:t>
      </w:r>
      <w:proofErr w:type="gramEnd"/>
      <w:r w:rsidRPr="00747436">
        <w:rPr>
          <w:sz w:val="16"/>
          <w:szCs w:val="16"/>
        </w:rPr>
        <w:t>(1):16-27.</w:t>
      </w:r>
    </w:p>
    <w:p w:rsidR="00E35C70" w:rsidRPr="00747436" w:rsidRDefault="00E35C70" w:rsidP="00E35C70">
      <w:pPr>
        <w:rPr>
          <w:sz w:val="16"/>
          <w:szCs w:val="16"/>
        </w:rPr>
      </w:pPr>
      <w:proofErr w:type="spellStart"/>
      <w:r w:rsidRPr="00747436">
        <w:rPr>
          <w:sz w:val="16"/>
          <w:szCs w:val="16"/>
        </w:rPr>
        <w:t>Ferlay</w:t>
      </w:r>
      <w:proofErr w:type="spellEnd"/>
      <w:r w:rsidRPr="00747436">
        <w:rPr>
          <w:sz w:val="16"/>
          <w:szCs w:val="16"/>
        </w:rPr>
        <w:t xml:space="preserve"> J, </w:t>
      </w:r>
      <w:proofErr w:type="spellStart"/>
      <w:r w:rsidRPr="00747436">
        <w:rPr>
          <w:sz w:val="16"/>
          <w:szCs w:val="16"/>
        </w:rPr>
        <w:t>Soerjomataram</w:t>
      </w:r>
      <w:proofErr w:type="spellEnd"/>
      <w:r w:rsidRPr="00747436">
        <w:rPr>
          <w:sz w:val="16"/>
          <w:szCs w:val="16"/>
        </w:rPr>
        <w:t xml:space="preserve"> I, </w:t>
      </w:r>
      <w:proofErr w:type="spellStart"/>
      <w:r w:rsidRPr="00747436">
        <w:rPr>
          <w:sz w:val="16"/>
          <w:szCs w:val="16"/>
        </w:rPr>
        <w:t>Ervik</w:t>
      </w:r>
      <w:proofErr w:type="spellEnd"/>
      <w:r w:rsidRPr="00747436">
        <w:rPr>
          <w:sz w:val="16"/>
          <w:szCs w:val="16"/>
        </w:rPr>
        <w:t xml:space="preserve"> M, </w:t>
      </w:r>
      <w:proofErr w:type="spellStart"/>
      <w:r w:rsidRPr="00747436">
        <w:rPr>
          <w:sz w:val="16"/>
          <w:szCs w:val="16"/>
        </w:rPr>
        <w:t>Dikshit</w:t>
      </w:r>
      <w:proofErr w:type="spellEnd"/>
      <w:r w:rsidRPr="00747436">
        <w:rPr>
          <w:sz w:val="16"/>
          <w:szCs w:val="16"/>
        </w:rPr>
        <w:t xml:space="preserve"> R, </w:t>
      </w:r>
      <w:proofErr w:type="spellStart"/>
      <w:r w:rsidRPr="00747436">
        <w:rPr>
          <w:sz w:val="16"/>
          <w:szCs w:val="16"/>
        </w:rPr>
        <w:t>Eser</w:t>
      </w:r>
      <w:proofErr w:type="spellEnd"/>
      <w:r w:rsidRPr="00747436">
        <w:rPr>
          <w:sz w:val="16"/>
          <w:szCs w:val="16"/>
        </w:rPr>
        <w:t xml:space="preserve"> S, Mathers C, </w:t>
      </w:r>
      <w:proofErr w:type="spellStart"/>
      <w:r w:rsidRPr="00747436">
        <w:rPr>
          <w:sz w:val="16"/>
          <w:szCs w:val="16"/>
        </w:rPr>
        <w:t>Rebelo</w:t>
      </w:r>
      <w:proofErr w:type="spellEnd"/>
      <w:r w:rsidRPr="00747436">
        <w:rPr>
          <w:sz w:val="16"/>
          <w:szCs w:val="16"/>
        </w:rPr>
        <w:t xml:space="preserve"> M, </w:t>
      </w:r>
      <w:proofErr w:type="spellStart"/>
      <w:r w:rsidRPr="00747436">
        <w:rPr>
          <w:sz w:val="16"/>
          <w:szCs w:val="16"/>
        </w:rPr>
        <w:t>Parkin</w:t>
      </w:r>
      <w:proofErr w:type="spellEnd"/>
      <w:r w:rsidRPr="00747436">
        <w:rPr>
          <w:sz w:val="16"/>
          <w:szCs w:val="16"/>
        </w:rPr>
        <w:t xml:space="preserve"> DM, Forman D, Bray, F.</w:t>
      </w:r>
      <w:r w:rsidRPr="00747436">
        <w:rPr>
          <w:sz w:val="16"/>
          <w:szCs w:val="16"/>
        </w:rPr>
        <w:br/>
        <w:t xml:space="preserve">GLOBOCAN 2012 v1.0, Cancer Incidence and Mortality Worldwide: IARC </w:t>
      </w:r>
      <w:proofErr w:type="spellStart"/>
      <w:r w:rsidRPr="00747436">
        <w:rPr>
          <w:sz w:val="16"/>
          <w:szCs w:val="16"/>
        </w:rPr>
        <w:t>CancerBase</w:t>
      </w:r>
      <w:proofErr w:type="spellEnd"/>
      <w:r w:rsidRPr="00747436">
        <w:rPr>
          <w:sz w:val="16"/>
          <w:szCs w:val="16"/>
        </w:rPr>
        <w:t xml:space="preserve"> No. 11 [Internet].</w:t>
      </w:r>
      <w:r w:rsidRPr="00747436">
        <w:rPr>
          <w:sz w:val="16"/>
          <w:szCs w:val="16"/>
        </w:rPr>
        <w:br/>
        <w:t>Lyon, France: International Agency for Research on Cancer; 2013. Available from: http://globocan.iarc.fr, accessed on 5/11/2017.</w:t>
      </w:r>
    </w:p>
    <w:p w:rsidR="00E35C70" w:rsidRPr="00747436" w:rsidRDefault="00E35C70" w:rsidP="00E35C70">
      <w:pPr>
        <w:spacing w:after="0" w:line="240" w:lineRule="auto"/>
        <w:rPr>
          <w:sz w:val="16"/>
          <w:szCs w:val="16"/>
        </w:rPr>
      </w:pPr>
      <w:r w:rsidRPr="00747436">
        <w:rPr>
          <w:sz w:val="16"/>
          <w:szCs w:val="16"/>
        </w:rPr>
        <w:t xml:space="preserve">Akbari MR, </w:t>
      </w:r>
      <w:proofErr w:type="spellStart"/>
      <w:r w:rsidRPr="00747436">
        <w:rPr>
          <w:sz w:val="16"/>
          <w:szCs w:val="16"/>
        </w:rPr>
        <w:t>Donenberg</w:t>
      </w:r>
      <w:proofErr w:type="spellEnd"/>
      <w:r w:rsidRPr="00747436">
        <w:rPr>
          <w:sz w:val="16"/>
          <w:szCs w:val="16"/>
        </w:rPr>
        <w:t xml:space="preserve"> T, Lunn J, et al. The spectrum of BRCA1 and BRCA2 mutations in breast cancer patients in the Bahamas. </w:t>
      </w:r>
      <w:proofErr w:type="spellStart"/>
      <w:r w:rsidRPr="00747436">
        <w:rPr>
          <w:sz w:val="16"/>
          <w:szCs w:val="16"/>
        </w:rPr>
        <w:t>Clin</w:t>
      </w:r>
      <w:proofErr w:type="spellEnd"/>
      <w:r w:rsidRPr="00747436">
        <w:rPr>
          <w:sz w:val="16"/>
          <w:szCs w:val="16"/>
        </w:rPr>
        <w:t xml:space="preserve"> Genet. 2014 Jan</w:t>
      </w:r>
      <w:proofErr w:type="gramStart"/>
      <w:r w:rsidRPr="00747436">
        <w:rPr>
          <w:sz w:val="16"/>
          <w:szCs w:val="16"/>
        </w:rPr>
        <w:t>;85</w:t>
      </w:r>
      <w:proofErr w:type="gramEnd"/>
      <w:r w:rsidRPr="00747436">
        <w:rPr>
          <w:sz w:val="16"/>
          <w:szCs w:val="16"/>
        </w:rPr>
        <w:t xml:space="preserve">(1):64-7. </w:t>
      </w:r>
    </w:p>
    <w:p w:rsidR="00E35C70" w:rsidRPr="00747436" w:rsidRDefault="00E35C70" w:rsidP="00E35C70">
      <w:pPr>
        <w:spacing w:after="0" w:line="240" w:lineRule="auto"/>
        <w:rPr>
          <w:sz w:val="16"/>
          <w:szCs w:val="16"/>
        </w:rPr>
      </w:pPr>
    </w:p>
    <w:p w:rsidR="00E35C70" w:rsidRPr="00747436" w:rsidRDefault="00E35C70" w:rsidP="00E35C70">
      <w:pPr>
        <w:spacing w:after="0" w:line="240" w:lineRule="auto"/>
        <w:rPr>
          <w:sz w:val="16"/>
          <w:szCs w:val="16"/>
        </w:rPr>
      </w:pPr>
      <w:r w:rsidRPr="00747436">
        <w:rPr>
          <w:sz w:val="16"/>
          <w:szCs w:val="16"/>
        </w:rPr>
        <w:t xml:space="preserve">Lerner-Ellis J, </w:t>
      </w:r>
      <w:proofErr w:type="spellStart"/>
      <w:r w:rsidRPr="00747436">
        <w:rPr>
          <w:sz w:val="16"/>
          <w:szCs w:val="16"/>
        </w:rPr>
        <w:t>Donenberg</w:t>
      </w:r>
      <w:proofErr w:type="spellEnd"/>
      <w:r w:rsidRPr="00747436">
        <w:rPr>
          <w:sz w:val="16"/>
          <w:szCs w:val="16"/>
        </w:rPr>
        <w:t xml:space="preserve"> T, Ahmed H, et al. A high frequency of PALB2 mutations in Jamaican patients with breast cancer. Breast Cancer Res Treat. 2017 Apr</w:t>
      </w:r>
      <w:proofErr w:type="gramStart"/>
      <w:r w:rsidRPr="00747436">
        <w:rPr>
          <w:sz w:val="16"/>
          <w:szCs w:val="16"/>
        </w:rPr>
        <w:t>;162</w:t>
      </w:r>
      <w:proofErr w:type="gramEnd"/>
      <w:r w:rsidRPr="00747436">
        <w:rPr>
          <w:sz w:val="16"/>
          <w:szCs w:val="16"/>
        </w:rPr>
        <w:t>(3):591-596.</w:t>
      </w:r>
    </w:p>
    <w:p w:rsidR="00E35C70" w:rsidRPr="00747436" w:rsidRDefault="00E35C70" w:rsidP="00E35C70">
      <w:pPr>
        <w:spacing w:after="0" w:line="240" w:lineRule="auto"/>
        <w:rPr>
          <w:sz w:val="16"/>
          <w:szCs w:val="16"/>
        </w:rPr>
      </w:pPr>
    </w:p>
    <w:p w:rsidR="00E35C70" w:rsidRPr="00747436" w:rsidRDefault="00E35C70" w:rsidP="00E35C70">
      <w:pPr>
        <w:spacing w:after="0" w:line="240" w:lineRule="auto"/>
        <w:rPr>
          <w:sz w:val="16"/>
          <w:szCs w:val="16"/>
        </w:rPr>
      </w:pPr>
      <w:proofErr w:type="spellStart"/>
      <w:r w:rsidRPr="00747436">
        <w:rPr>
          <w:sz w:val="16"/>
          <w:szCs w:val="16"/>
        </w:rPr>
        <w:t>Donenberg</w:t>
      </w:r>
      <w:proofErr w:type="spellEnd"/>
      <w:r w:rsidRPr="00747436">
        <w:rPr>
          <w:sz w:val="16"/>
          <w:szCs w:val="16"/>
        </w:rPr>
        <w:t xml:space="preserve"> T, Ahmed H, Royer R, et al. A Survey of BRCA1, BRCA2, and PALB2 mutations in women with breast cancer in Trinidad and Tobago. Breast Cancer Res Treat. 2016 Aug</w:t>
      </w:r>
      <w:proofErr w:type="gramStart"/>
      <w:r w:rsidRPr="00747436">
        <w:rPr>
          <w:sz w:val="16"/>
          <w:szCs w:val="16"/>
        </w:rPr>
        <w:t>;159</w:t>
      </w:r>
      <w:proofErr w:type="gramEnd"/>
      <w:r w:rsidRPr="00747436">
        <w:rPr>
          <w:sz w:val="16"/>
          <w:szCs w:val="16"/>
        </w:rPr>
        <w:t>(1):131-8.</w:t>
      </w:r>
    </w:p>
    <w:p w:rsidR="00E35C70" w:rsidRPr="00747436" w:rsidRDefault="00E35C70" w:rsidP="00E35C70">
      <w:pPr>
        <w:spacing w:after="0" w:line="240" w:lineRule="auto"/>
        <w:rPr>
          <w:sz w:val="16"/>
          <w:szCs w:val="16"/>
        </w:rPr>
      </w:pPr>
    </w:p>
    <w:p w:rsidR="00E35C70" w:rsidRPr="00747436" w:rsidRDefault="00E35C70" w:rsidP="00E35C70">
      <w:pPr>
        <w:spacing w:after="0" w:line="240" w:lineRule="auto"/>
        <w:rPr>
          <w:sz w:val="16"/>
          <w:szCs w:val="16"/>
        </w:rPr>
      </w:pPr>
      <w:r w:rsidRPr="00747436">
        <w:rPr>
          <w:sz w:val="16"/>
          <w:szCs w:val="16"/>
        </w:rPr>
        <w:t xml:space="preserve">Zhang J, </w:t>
      </w:r>
      <w:proofErr w:type="spellStart"/>
      <w:r w:rsidRPr="00747436">
        <w:rPr>
          <w:sz w:val="16"/>
          <w:szCs w:val="16"/>
        </w:rPr>
        <w:t>Fackenthal</w:t>
      </w:r>
      <w:proofErr w:type="spellEnd"/>
      <w:r w:rsidRPr="00747436">
        <w:rPr>
          <w:sz w:val="16"/>
          <w:szCs w:val="16"/>
        </w:rPr>
        <w:t xml:space="preserve"> JD, Zheng Y, et al. Recurrent BRCA1 and BRCA2 mutations in breast cancer patients of African ancestry. Breast Cancer Res Treat. 2012 Jul</w:t>
      </w:r>
      <w:proofErr w:type="gramStart"/>
      <w:r w:rsidRPr="00747436">
        <w:rPr>
          <w:sz w:val="16"/>
          <w:szCs w:val="16"/>
        </w:rPr>
        <w:t>;134</w:t>
      </w:r>
      <w:proofErr w:type="gramEnd"/>
      <w:r w:rsidRPr="00747436">
        <w:rPr>
          <w:sz w:val="16"/>
          <w:szCs w:val="16"/>
        </w:rPr>
        <w:t>(2):889-94.</w:t>
      </w:r>
    </w:p>
    <w:p w:rsidR="00E35C70" w:rsidRPr="00747436" w:rsidRDefault="00E35C70" w:rsidP="00E35C70">
      <w:pPr>
        <w:spacing w:after="0" w:line="240" w:lineRule="auto"/>
        <w:rPr>
          <w:sz w:val="16"/>
          <w:szCs w:val="16"/>
        </w:rPr>
      </w:pPr>
    </w:p>
    <w:p w:rsidR="00E35C70" w:rsidRDefault="00E35C70" w:rsidP="00E35C70">
      <w:pPr>
        <w:spacing w:after="0" w:line="240" w:lineRule="auto"/>
        <w:rPr>
          <w:sz w:val="16"/>
          <w:szCs w:val="16"/>
        </w:rPr>
      </w:pPr>
      <w:r w:rsidRPr="00747436">
        <w:rPr>
          <w:sz w:val="16"/>
          <w:szCs w:val="16"/>
        </w:rPr>
        <w:t xml:space="preserve">Rodriguez RC, </w:t>
      </w:r>
      <w:proofErr w:type="spellStart"/>
      <w:r w:rsidRPr="00747436">
        <w:rPr>
          <w:sz w:val="16"/>
          <w:szCs w:val="16"/>
        </w:rPr>
        <w:t>Esperon</w:t>
      </w:r>
      <w:proofErr w:type="spellEnd"/>
      <w:r w:rsidRPr="00747436">
        <w:rPr>
          <w:sz w:val="16"/>
          <w:szCs w:val="16"/>
        </w:rPr>
        <w:t xml:space="preserve"> AA, </w:t>
      </w:r>
      <w:proofErr w:type="spellStart"/>
      <w:r w:rsidRPr="00747436">
        <w:rPr>
          <w:sz w:val="16"/>
          <w:szCs w:val="16"/>
        </w:rPr>
        <w:t>Ropero</w:t>
      </w:r>
      <w:proofErr w:type="spellEnd"/>
      <w:r w:rsidRPr="00747436">
        <w:rPr>
          <w:sz w:val="16"/>
          <w:szCs w:val="16"/>
        </w:rPr>
        <w:t xml:space="preserve"> R, et al. Prevalence of BRCA1 and BRCA2 mutations in breast cancer patients from Cuba. Fam Cancer. 2008</w:t>
      </w:r>
      <w:proofErr w:type="gramStart"/>
      <w:r w:rsidRPr="00747436">
        <w:rPr>
          <w:sz w:val="16"/>
          <w:szCs w:val="16"/>
        </w:rPr>
        <w:t>;7</w:t>
      </w:r>
      <w:proofErr w:type="gramEnd"/>
      <w:r w:rsidRPr="00747436">
        <w:rPr>
          <w:sz w:val="16"/>
          <w:szCs w:val="16"/>
        </w:rPr>
        <w:t>(3):275-9.</w:t>
      </w:r>
    </w:p>
    <w:p w:rsidR="00E35C70" w:rsidRDefault="00E35C70" w:rsidP="00E16ED0">
      <w:pPr>
        <w:rPr>
          <w:rFonts w:ascii="Arial" w:eastAsia="Times New Roman" w:hAnsi="Arial" w:cs="Arial"/>
          <w:color w:val="000000"/>
          <w:sz w:val="20"/>
          <w:szCs w:val="20"/>
        </w:rPr>
      </w:pPr>
    </w:p>
    <w:p w:rsidR="00E35C70" w:rsidRDefault="00E35C70" w:rsidP="00E16ED0">
      <w:pPr>
        <w:rPr>
          <w:rFonts w:ascii="Arial" w:eastAsia="Times New Roman" w:hAnsi="Arial" w:cs="Arial"/>
          <w:color w:val="000000"/>
          <w:sz w:val="20"/>
          <w:szCs w:val="20"/>
        </w:rPr>
      </w:pPr>
    </w:p>
    <w:p w:rsidR="00415335" w:rsidRDefault="00415335" w:rsidP="00415335">
      <w:pPr>
        <w:spacing w:after="0" w:line="240" w:lineRule="auto"/>
        <w:rPr>
          <w:b/>
        </w:rPr>
      </w:pPr>
      <w:r>
        <w:rPr>
          <w:b/>
        </w:rPr>
        <w:lastRenderedPageBreak/>
        <w:t>BIOGRAPHY</w:t>
      </w:r>
      <w:bookmarkStart w:id="0" w:name="_GoBack"/>
      <w:bookmarkEnd w:id="0"/>
      <w:r>
        <w:rPr>
          <w:b/>
        </w:rPr>
        <w:t xml:space="preserve">: </w:t>
      </w:r>
    </w:p>
    <w:p w:rsidR="00415335" w:rsidRDefault="00415335" w:rsidP="00A70C03">
      <w:pPr>
        <w:spacing w:after="0" w:line="240" w:lineRule="auto"/>
        <w:rPr>
          <w:sz w:val="16"/>
          <w:szCs w:val="16"/>
        </w:rPr>
      </w:pPr>
    </w:p>
    <w:p w:rsidR="00A70C03" w:rsidRDefault="00A70C03" w:rsidP="00A70C03">
      <w:pPr>
        <w:spacing w:after="0" w:line="240" w:lineRule="auto"/>
        <w:rPr>
          <w:sz w:val="16"/>
          <w:szCs w:val="16"/>
        </w:rPr>
      </w:pPr>
      <w:r w:rsidRPr="00A3556B">
        <w:rPr>
          <w:noProof/>
          <w:sz w:val="16"/>
          <w:szCs w:val="16"/>
        </w:rPr>
        <w:drawing>
          <wp:inline distT="0" distB="0" distL="0" distR="0">
            <wp:extent cx="1581150" cy="1981200"/>
            <wp:effectExtent l="0" t="0" r="0" b="0"/>
            <wp:docPr id="1" name="Picture 1" descr="13245493_10101423738000241_41029826851664610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245493_10101423738000241_4102982685166461095_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1150" cy="1981200"/>
                    </a:xfrm>
                    <a:prstGeom prst="rect">
                      <a:avLst/>
                    </a:prstGeom>
                    <a:noFill/>
                    <a:ln>
                      <a:noFill/>
                    </a:ln>
                  </pic:spPr>
                </pic:pic>
              </a:graphicData>
            </a:graphic>
          </wp:inline>
        </w:drawing>
      </w:r>
    </w:p>
    <w:p w:rsidR="00A70C03" w:rsidRDefault="00A70C03" w:rsidP="00A70C03">
      <w:pPr>
        <w:spacing w:after="0" w:line="240" w:lineRule="auto"/>
        <w:rPr>
          <w:sz w:val="16"/>
          <w:szCs w:val="16"/>
        </w:rPr>
      </w:pPr>
    </w:p>
    <w:p w:rsidR="00E964DD" w:rsidRDefault="00A70C03" w:rsidP="00A70C03">
      <w:pPr>
        <w:spacing w:after="0" w:line="240" w:lineRule="auto"/>
        <w:rPr>
          <w:sz w:val="28"/>
          <w:szCs w:val="28"/>
        </w:rPr>
      </w:pPr>
      <w:r>
        <w:rPr>
          <w:sz w:val="28"/>
          <w:szCs w:val="28"/>
        </w:rPr>
        <w:t>Gordon Moffat has his experience if Life Sciences with an Honors in Biology with training in Radiology. His passion for science and interest in microbiology lead him to pursue and obtain a Doctor of Medicine. Currently he is working at the State University of New York Brooklyn Health Sciences Center in Internal Medicine and the forthcoming Medicine Chief Resident. His professional interests include: Medical Oncology, Hospice and Palliative Medicine, and Geriatric Medicine. He is currently working on research projects at Memorial Sloan Kettering Cancer Center in Manhattan, New York that are expected to be published. He is also a candidate for the Alpha Omega Alpha Honor Medical Society Postgraduate Fellowshi</w:t>
      </w:r>
      <w:r w:rsidR="001E25EE">
        <w:rPr>
          <w:sz w:val="28"/>
          <w:szCs w:val="28"/>
        </w:rPr>
        <w:t xml:space="preserve">p Award. </w:t>
      </w:r>
      <w:r w:rsidR="001E25EE">
        <w:rPr>
          <w:sz w:val="28"/>
          <w:szCs w:val="28"/>
        </w:rPr>
        <w:br/>
      </w:r>
      <w:r w:rsidR="001E25EE">
        <w:rPr>
          <w:sz w:val="28"/>
          <w:szCs w:val="28"/>
        </w:rPr>
        <w:br/>
        <w:t xml:space="preserve">Gordon Taylor Moffat, MD. </w:t>
      </w:r>
      <w:r w:rsidR="00983712">
        <w:rPr>
          <w:sz w:val="28"/>
          <w:szCs w:val="28"/>
        </w:rPr>
        <w:br/>
      </w:r>
      <w:r w:rsidR="00E964DD">
        <w:rPr>
          <w:sz w:val="28"/>
          <w:szCs w:val="28"/>
        </w:rPr>
        <w:t>Phone</w:t>
      </w:r>
      <w:r>
        <w:rPr>
          <w:sz w:val="28"/>
          <w:szCs w:val="28"/>
        </w:rPr>
        <w:t xml:space="preserve"> No: 3474133116</w:t>
      </w:r>
      <w:r>
        <w:rPr>
          <w:sz w:val="28"/>
          <w:szCs w:val="28"/>
        </w:rPr>
        <w:br/>
      </w:r>
      <w:r w:rsidR="00E964DD">
        <w:rPr>
          <w:sz w:val="28"/>
          <w:szCs w:val="28"/>
        </w:rPr>
        <w:t xml:space="preserve">Category: Poster or Oral presentation </w:t>
      </w:r>
    </w:p>
    <w:p w:rsidR="00E964DD" w:rsidRDefault="00E964DD" w:rsidP="00A70C03">
      <w:pPr>
        <w:spacing w:after="0" w:line="240" w:lineRule="auto"/>
        <w:rPr>
          <w:sz w:val="28"/>
          <w:szCs w:val="28"/>
        </w:rPr>
      </w:pPr>
      <w:r>
        <w:rPr>
          <w:sz w:val="28"/>
          <w:szCs w:val="28"/>
        </w:rPr>
        <w:t xml:space="preserve">Email: </w:t>
      </w:r>
      <w:hyperlink r:id="rId5" w:history="1">
        <w:r w:rsidRPr="001F30BF">
          <w:rPr>
            <w:rStyle w:val="Hyperlink"/>
            <w:sz w:val="28"/>
            <w:szCs w:val="28"/>
          </w:rPr>
          <w:t>Gordon.moffat@downstate.edu</w:t>
        </w:r>
      </w:hyperlink>
    </w:p>
    <w:p w:rsidR="00A70C03" w:rsidRPr="00A3556B" w:rsidRDefault="00A70C03" w:rsidP="00A70C03">
      <w:pPr>
        <w:spacing w:after="0" w:line="240" w:lineRule="auto"/>
        <w:rPr>
          <w:sz w:val="28"/>
          <w:szCs w:val="28"/>
        </w:rPr>
      </w:pPr>
      <w:r>
        <w:rPr>
          <w:sz w:val="28"/>
          <w:szCs w:val="28"/>
        </w:rPr>
        <w:br/>
      </w:r>
    </w:p>
    <w:p w:rsidR="00A70C03" w:rsidRDefault="00A70C03" w:rsidP="00E16ED0"/>
    <w:sectPr w:rsidR="00A70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D0"/>
    <w:rsid w:val="000E456D"/>
    <w:rsid w:val="001E25EE"/>
    <w:rsid w:val="00415335"/>
    <w:rsid w:val="00541BCE"/>
    <w:rsid w:val="0055019D"/>
    <w:rsid w:val="007B3D16"/>
    <w:rsid w:val="00912F39"/>
    <w:rsid w:val="00983712"/>
    <w:rsid w:val="00A70C03"/>
    <w:rsid w:val="00E16ED0"/>
    <w:rsid w:val="00E35C70"/>
    <w:rsid w:val="00E964DD"/>
    <w:rsid w:val="00ED005B"/>
    <w:rsid w:val="00F57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48FAF-2CE2-4E06-84EA-684A5840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70C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33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rdon.moffat@downstate.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New York City Health and Hospitals Corporation</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Moffat, Gordon</dc:creator>
  <cp:keywords/>
  <dc:description/>
  <cp:lastModifiedBy>Moffat, Gordon</cp:lastModifiedBy>
  <cp:revision>13</cp:revision>
  <dcterms:created xsi:type="dcterms:W3CDTF">2018-03-26T19:18:00Z</dcterms:created>
  <dcterms:modified xsi:type="dcterms:W3CDTF">2018-07-09T18:02:00Z</dcterms:modified>
</cp:coreProperties>
</file>