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FC7" w:rsidRPr="00BC4FC7" w:rsidRDefault="00BC4FC7" w:rsidP="00F01B73">
      <w:pPr>
        <w:pStyle w:val="Heading1"/>
        <w:spacing w:after="0"/>
        <w:rPr>
          <w:color w:val="auto"/>
        </w:rPr>
      </w:pPr>
      <w:r w:rsidRPr="00BC4FC7">
        <w:rPr>
          <w:color w:val="auto"/>
        </w:rPr>
        <w:t>The role of platelet parameters for the diagnosis of preeclampsia among pregnant women attending at the University of Gondar Comprehensive Specialized Hospital antenatal care unit, Gondar, Ethiopia</w:t>
      </w:r>
    </w:p>
    <w:p w:rsidR="00BC4FC7" w:rsidRPr="00BC4FC7" w:rsidRDefault="00BC4FC7" w:rsidP="00BC4FC7">
      <w:pPr>
        <w:tabs>
          <w:tab w:val="left" w:pos="5171"/>
          <w:tab w:val="left" w:pos="5699"/>
        </w:tabs>
        <w:spacing w:after="0" w:line="360" w:lineRule="auto"/>
        <w:rPr>
          <w:rFonts w:cs="Times New Roman"/>
          <w:szCs w:val="24"/>
          <w:vertAlign w:val="superscript"/>
        </w:rPr>
      </w:pPr>
      <w:r w:rsidRPr="00BC4FC7">
        <w:rPr>
          <w:rFonts w:cs="Times New Roman"/>
          <w:szCs w:val="24"/>
        </w:rPr>
        <w:t>Muluken Walle,</w:t>
      </w:r>
      <w:r w:rsidRPr="00BC4FC7">
        <w:rPr>
          <w:rFonts w:cs="Times New Roman"/>
          <w:szCs w:val="24"/>
          <w:vertAlign w:val="superscript"/>
        </w:rPr>
        <w:t xml:space="preserve"> </w:t>
      </w:r>
      <w:r w:rsidRPr="00BC4FC7">
        <w:rPr>
          <w:rFonts w:cs="Times New Roman"/>
          <w:szCs w:val="24"/>
        </w:rPr>
        <w:t>Jigjiga University, Ethiopia</w:t>
      </w:r>
    </w:p>
    <w:p w:rsidR="00BC4FC7" w:rsidRPr="00BC4FC7" w:rsidRDefault="00BC4FC7" w:rsidP="00BC4FC7">
      <w:pPr>
        <w:tabs>
          <w:tab w:val="left" w:pos="5171"/>
          <w:tab w:val="left" w:pos="5699"/>
        </w:tabs>
        <w:spacing w:after="0" w:line="360" w:lineRule="auto"/>
        <w:rPr>
          <w:rFonts w:cs="Times New Roman"/>
          <w:szCs w:val="24"/>
        </w:rPr>
      </w:pPr>
      <w:proofErr w:type="spellStart"/>
      <w:r w:rsidRPr="00BC4FC7">
        <w:rPr>
          <w:rFonts w:cs="Times New Roman"/>
          <w:szCs w:val="24"/>
        </w:rPr>
        <w:t>Fikir</w:t>
      </w:r>
      <w:proofErr w:type="spellEnd"/>
      <w:r w:rsidRPr="00BC4FC7">
        <w:rPr>
          <w:rFonts w:cs="Times New Roman"/>
          <w:szCs w:val="24"/>
        </w:rPr>
        <w:t xml:space="preserve"> </w:t>
      </w:r>
      <w:proofErr w:type="spellStart"/>
      <w:r w:rsidRPr="00BC4FC7">
        <w:rPr>
          <w:rFonts w:cs="Times New Roman"/>
          <w:szCs w:val="24"/>
        </w:rPr>
        <w:t>Asrie</w:t>
      </w:r>
      <w:proofErr w:type="spellEnd"/>
      <w:r w:rsidRPr="00BC4FC7">
        <w:rPr>
          <w:rFonts w:cs="Times New Roman"/>
          <w:szCs w:val="24"/>
        </w:rPr>
        <w:t>, University of Gondar, Ethiopia</w:t>
      </w:r>
    </w:p>
    <w:p w:rsidR="00BC4FC7" w:rsidRPr="00BC4FC7" w:rsidRDefault="00BC4FC7" w:rsidP="00BC4FC7">
      <w:pPr>
        <w:tabs>
          <w:tab w:val="left" w:pos="5171"/>
          <w:tab w:val="left" w:pos="5699"/>
        </w:tabs>
        <w:spacing w:after="0" w:line="360" w:lineRule="auto"/>
        <w:rPr>
          <w:rFonts w:cs="Times New Roman"/>
          <w:szCs w:val="24"/>
        </w:rPr>
      </w:pPr>
      <w:proofErr w:type="spellStart"/>
      <w:r w:rsidRPr="00BC4FC7">
        <w:rPr>
          <w:rFonts w:cs="Times New Roman"/>
          <w:szCs w:val="24"/>
        </w:rPr>
        <w:t>Yemataw</w:t>
      </w:r>
      <w:proofErr w:type="spellEnd"/>
      <w:r w:rsidRPr="00BC4FC7">
        <w:rPr>
          <w:rFonts w:cs="Times New Roman"/>
          <w:szCs w:val="24"/>
        </w:rPr>
        <w:t xml:space="preserve"> </w:t>
      </w:r>
      <w:proofErr w:type="spellStart"/>
      <w:r w:rsidRPr="00BC4FC7">
        <w:rPr>
          <w:rFonts w:cs="Times New Roman"/>
          <w:szCs w:val="24"/>
        </w:rPr>
        <w:t>Gelaw</w:t>
      </w:r>
      <w:proofErr w:type="spellEnd"/>
      <w:r w:rsidRPr="00BC4FC7">
        <w:rPr>
          <w:rFonts w:cs="Times New Roman"/>
          <w:szCs w:val="24"/>
        </w:rPr>
        <w:t>, University of Gondar, Ethiopia</w:t>
      </w:r>
    </w:p>
    <w:p w:rsidR="00BC4FC7" w:rsidRPr="00BC4FC7" w:rsidRDefault="00BC4FC7" w:rsidP="00BC4FC7">
      <w:pPr>
        <w:tabs>
          <w:tab w:val="left" w:pos="5171"/>
          <w:tab w:val="left" w:pos="5699"/>
        </w:tabs>
        <w:spacing w:after="0" w:line="360" w:lineRule="auto"/>
        <w:rPr>
          <w:rFonts w:cs="Times New Roman"/>
          <w:szCs w:val="24"/>
        </w:rPr>
      </w:pPr>
      <w:proofErr w:type="spellStart"/>
      <w:r w:rsidRPr="00BC4FC7">
        <w:rPr>
          <w:rFonts w:cs="Times New Roman"/>
          <w:szCs w:val="24"/>
        </w:rPr>
        <w:t>Zegeye</w:t>
      </w:r>
      <w:proofErr w:type="spellEnd"/>
      <w:r w:rsidRPr="00BC4FC7">
        <w:rPr>
          <w:rFonts w:cs="Times New Roman"/>
          <w:szCs w:val="24"/>
        </w:rPr>
        <w:t xml:space="preserve"> </w:t>
      </w:r>
      <w:proofErr w:type="spellStart"/>
      <w:r w:rsidRPr="00BC4FC7">
        <w:rPr>
          <w:rFonts w:cs="Times New Roman"/>
          <w:szCs w:val="24"/>
        </w:rPr>
        <w:t>Getaneh</w:t>
      </w:r>
      <w:proofErr w:type="spellEnd"/>
      <w:r w:rsidRPr="00BC4FC7">
        <w:rPr>
          <w:rFonts w:cs="Times New Roman"/>
          <w:szCs w:val="24"/>
        </w:rPr>
        <w:t>, University of Gondar, Ethiopia</w:t>
      </w:r>
    </w:p>
    <w:p w:rsidR="00BC4FC7" w:rsidRPr="00BC4FC7" w:rsidRDefault="00BC4FC7" w:rsidP="00BC4FC7">
      <w:pPr>
        <w:pStyle w:val="Heading1"/>
        <w:rPr>
          <w:color w:val="auto"/>
        </w:rPr>
      </w:pPr>
      <w:r w:rsidRPr="00BC4FC7">
        <w:rPr>
          <w:color w:val="auto"/>
        </w:rPr>
        <w:t>ABSTRACT</w:t>
      </w:r>
      <w:r w:rsidRPr="00BC4FC7">
        <w:rPr>
          <w:color w:val="auto"/>
        </w:rPr>
        <w:tab/>
      </w:r>
    </w:p>
    <w:p w:rsidR="00BC4FC7" w:rsidRPr="00BC4FC7" w:rsidRDefault="00BC4FC7" w:rsidP="00BC4FC7">
      <w:pPr>
        <w:spacing w:after="0" w:line="360" w:lineRule="auto"/>
        <w:rPr>
          <w:rFonts w:cs="Times New Roman"/>
          <w:b/>
          <w:szCs w:val="24"/>
        </w:rPr>
      </w:pPr>
      <w:r w:rsidRPr="00BC4FC7">
        <w:rPr>
          <w:rFonts w:cs="Times New Roman"/>
          <w:b/>
          <w:szCs w:val="24"/>
        </w:rPr>
        <w:t xml:space="preserve">Background: </w:t>
      </w:r>
      <w:r w:rsidRPr="00BC4FC7">
        <w:rPr>
          <w:rFonts w:cs="Times New Roman"/>
          <w:szCs w:val="24"/>
        </w:rPr>
        <w:t>Preeclampsia (PE) is a pregnancy-related illness characterized by high blood pressure (BP) and proteinuria after the 20</w:t>
      </w:r>
      <w:r w:rsidRPr="00BC4FC7">
        <w:rPr>
          <w:rFonts w:cs="Times New Roman"/>
          <w:szCs w:val="24"/>
          <w:vertAlign w:val="superscript"/>
        </w:rPr>
        <w:t>th</w:t>
      </w:r>
      <w:r w:rsidRPr="00BC4FC7">
        <w:rPr>
          <w:rFonts w:cs="Times New Roman"/>
          <w:szCs w:val="24"/>
        </w:rPr>
        <w:t xml:space="preserve"> gestational week (GW). Platelet (PLT) parameters changes are the common hematological abnormalities observed in women with PE. </w:t>
      </w:r>
      <w:r w:rsidRPr="00BC4FC7">
        <w:rPr>
          <w:rFonts w:cs="Times New Roman"/>
          <w:szCs w:val="24"/>
          <w:shd w:val="clear" w:color="auto" w:fill="FFFFFF"/>
        </w:rPr>
        <w:t>The</w:t>
      </w:r>
      <w:r w:rsidRPr="00BC4FC7">
        <w:rPr>
          <w:rFonts w:cs="Times New Roman"/>
          <w:szCs w:val="24"/>
        </w:rPr>
        <w:t xml:space="preserve"> main aim of this study was to assess the biomarker role of PLT parameters for PE prediction. </w:t>
      </w:r>
    </w:p>
    <w:p w:rsidR="00BC4FC7" w:rsidRPr="00BC4FC7" w:rsidRDefault="00BC4FC7" w:rsidP="00BC4FC7">
      <w:pPr>
        <w:spacing w:after="0" w:line="360" w:lineRule="auto"/>
        <w:rPr>
          <w:rFonts w:cs="Times New Roman"/>
          <w:szCs w:val="24"/>
          <w:shd w:val="clear" w:color="auto" w:fill="FFFFFF"/>
        </w:rPr>
      </w:pPr>
      <w:r w:rsidRPr="00BC4FC7">
        <w:rPr>
          <w:rFonts w:cs="Times New Roman"/>
          <w:b/>
          <w:szCs w:val="24"/>
        </w:rPr>
        <w:t>Methods:</w:t>
      </w:r>
      <w:r w:rsidRPr="00BC4FC7">
        <w:rPr>
          <w:rFonts w:cs="Times New Roman"/>
          <w:szCs w:val="24"/>
        </w:rPr>
        <w:t xml:space="preserve"> A comparative cross-sectional study was conducted at the University </w:t>
      </w:r>
      <w:proofErr w:type="gramStart"/>
      <w:r w:rsidRPr="00BC4FC7">
        <w:rPr>
          <w:rFonts w:cs="Times New Roman"/>
          <w:szCs w:val="24"/>
        </w:rPr>
        <w:t>of</w:t>
      </w:r>
      <w:proofErr w:type="gramEnd"/>
      <w:r w:rsidRPr="00BC4FC7">
        <w:rPr>
          <w:rFonts w:cs="Times New Roman"/>
          <w:szCs w:val="24"/>
        </w:rPr>
        <w:t xml:space="preserve"> Gondar Specialized Hospital. A total of 126 pregnant women (63 </w:t>
      </w:r>
      <w:r w:rsidRPr="00BC4FC7">
        <w:rPr>
          <w:rStyle w:val="fontstyle01"/>
          <w:rFonts w:cs="Times New Roman"/>
          <w:color w:val="auto"/>
          <w:szCs w:val="24"/>
        </w:rPr>
        <w:t>normotensive</w:t>
      </w:r>
      <w:r w:rsidRPr="00BC4FC7">
        <w:rPr>
          <w:rFonts w:cs="Times New Roman"/>
          <w:szCs w:val="24"/>
          <w:shd w:val="clear" w:color="auto" w:fill="FFFFFF"/>
        </w:rPr>
        <w:t xml:space="preserve"> (NT) and 63 PE)</w:t>
      </w:r>
      <w:r w:rsidRPr="00BC4FC7">
        <w:rPr>
          <w:rFonts w:cs="Times New Roman"/>
          <w:szCs w:val="24"/>
        </w:rPr>
        <w:t xml:space="preserve"> were recruited using a convenient sampling method</w:t>
      </w:r>
      <w:r w:rsidRPr="00BC4FC7">
        <w:rPr>
          <w:rFonts w:eastAsia="Arial Unicode MS" w:cs="Times New Roman"/>
          <w:bCs/>
          <w:szCs w:val="24"/>
        </w:rPr>
        <w:t xml:space="preserve">. </w:t>
      </w:r>
      <w:r w:rsidRPr="00BC4FC7">
        <w:rPr>
          <w:rFonts w:cs="Times New Roman"/>
          <w:szCs w:val="24"/>
          <w:shd w:val="clear" w:color="auto" w:fill="FFFFFF"/>
        </w:rPr>
        <w:t>Three milliliter blood was collected from each participant and PLT parameters were determined using Sysmex XS-500i analyzer.</w:t>
      </w:r>
      <w:r w:rsidRPr="00BC4FC7">
        <w:rPr>
          <w:rFonts w:cs="Times New Roman"/>
          <w:szCs w:val="24"/>
        </w:rPr>
        <w:t xml:space="preserve"> An </w:t>
      </w:r>
      <w:r w:rsidRPr="00BC4FC7">
        <w:rPr>
          <w:rFonts w:cs="Times New Roman"/>
          <w:szCs w:val="24"/>
          <w:shd w:val="clear" w:color="auto" w:fill="FFFFFF"/>
        </w:rPr>
        <w:t xml:space="preserve">independent t-test supplemented with </w:t>
      </w:r>
      <w:r w:rsidRPr="00BC4FC7">
        <w:rPr>
          <w:rFonts w:cs="Times New Roman"/>
          <w:szCs w:val="24"/>
        </w:rPr>
        <w:t xml:space="preserve">Receiver </w:t>
      </w:r>
      <w:r w:rsidRPr="00BC4FC7">
        <w:rPr>
          <w:rFonts w:cs="Times New Roman"/>
          <w:szCs w:val="24"/>
          <w:shd w:val="clear" w:color="auto" w:fill="FFFFFF"/>
        </w:rPr>
        <w:t xml:space="preserve">operating characteristics (ROC) were used for comparisons and diagnostic value determination of PLT parameters between the study groups. </w:t>
      </w:r>
    </w:p>
    <w:p w:rsidR="00BC4FC7" w:rsidRPr="00BC4FC7" w:rsidRDefault="00BC4FC7" w:rsidP="00BC4FC7">
      <w:pPr>
        <w:spacing w:after="0" w:line="360" w:lineRule="auto"/>
        <w:rPr>
          <w:rFonts w:cs="Times New Roman"/>
          <w:szCs w:val="24"/>
        </w:rPr>
      </w:pPr>
      <w:r w:rsidRPr="00BC4FC7">
        <w:rPr>
          <w:rFonts w:cs="Times New Roman"/>
          <w:b/>
          <w:szCs w:val="24"/>
        </w:rPr>
        <w:t>Results</w:t>
      </w:r>
      <w:r w:rsidRPr="00BC4FC7">
        <w:rPr>
          <w:rFonts w:cs="Times New Roman"/>
          <w:szCs w:val="24"/>
        </w:rPr>
        <w:t xml:space="preserve">: </w:t>
      </w:r>
      <w:r w:rsidRPr="00BC4FC7">
        <w:rPr>
          <w:rStyle w:val="fontstyle01"/>
          <w:rFonts w:cs="Times New Roman"/>
          <w:color w:val="auto"/>
          <w:szCs w:val="24"/>
        </w:rPr>
        <w:t>Platelet count (PC) was</w:t>
      </w:r>
      <w:r w:rsidRPr="00BC4FC7">
        <w:rPr>
          <w:rFonts w:cs="Times New Roman"/>
          <w:iCs/>
          <w:szCs w:val="24"/>
        </w:rPr>
        <w:t xml:space="preserve"> </w:t>
      </w:r>
      <w:r w:rsidRPr="00BC4FC7">
        <w:rPr>
          <w:rStyle w:val="fontstyle01"/>
          <w:rFonts w:cs="Times New Roman"/>
          <w:color w:val="auto"/>
          <w:szCs w:val="24"/>
        </w:rPr>
        <w:t>significantly lower in PE group compared to NT group</w:t>
      </w:r>
      <w:r w:rsidRPr="00BC4FC7">
        <w:rPr>
          <w:rFonts w:cs="Times New Roman"/>
          <w:szCs w:val="24"/>
        </w:rPr>
        <w:t xml:space="preserve">, whereas </w:t>
      </w:r>
      <w:r w:rsidRPr="00BC4FC7">
        <w:rPr>
          <w:rStyle w:val="fontstyle01"/>
          <w:rFonts w:cs="Times New Roman"/>
          <w:color w:val="auto"/>
          <w:szCs w:val="24"/>
        </w:rPr>
        <w:t>mean platelet volume (MPV), platelet large cell ratio (P-LCR), and platelet distribution width (PDW) were</w:t>
      </w:r>
      <w:r w:rsidRPr="00BC4FC7">
        <w:rPr>
          <w:rFonts w:cs="Times New Roman"/>
          <w:szCs w:val="24"/>
        </w:rPr>
        <w:t xml:space="preserve"> </w:t>
      </w:r>
      <w:r w:rsidRPr="00BC4FC7">
        <w:rPr>
          <w:rStyle w:val="fontstyle01"/>
          <w:rFonts w:cs="Times New Roman"/>
          <w:color w:val="auto"/>
          <w:szCs w:val="24"/>
        </w:rPr>
        <w:t>significantly higher in PE.</w:t>
      </w:r>
      <w:r w:rsidRPr="00BC4FC7">
        <w:rPr>
          <w:rFonts w:cs="Times New Roman"/>
          <w:szCs w:val="24"/>
        </w:rPr>
        <w:t xml:space="preserve"> MPV had the largest area under the curve (AUC) [0.91: 95% CI; 0.85-0.96] followed by PC [0.79: 95% CI; 0.72-0.87]. MPV can differentiate PE patients from NT pregnant women at cut-off value </w:t>
      </w:r>
      <w:r w:rsidRPr="00BC4FC7">
        <w:rPr>
          <w:rFonts w:eastAsia="Times New Roman" w:cs="Times New Roman"/>
          <w:szCs w:val="24"/>
        </w:rPr>
        <w:t xml:space="preserve">≥ </w:t>
      </w:r>
      <w:r w:rsidRPr="00BC4FC7">
        <w:rPr>
          <w:rFonts w:cs="Times New Roman"/>
          <w:szCs w:val="24"/>
        </w:rPr>
        <w:t>12.10fl (84.1</w:t>
      </w:r>
      <w:r w:rsidRPr="00BC4FC7">
        <w:rPr>
          <w:rFonts w:eastAsia="Times New Roman" w:cs="Times New Roman"/>
          <w:szCs w:val="24"/>
        </w:rPr>
        <w:t>%</w:t>
      </w:r>
      <w:r w:rsidRPr="00BC4FC7">
        <w:rPr>
          <w:rFonts w:cs="Times New Roman"/>
          <w:szCs w:val="24"/>
        </w:rPr>
        <w:t xml:space="preserve"> sensitivity and 87.3</w:t>
      </w:r>
      <w:r w:rsidRPr="00BC4FC7">
        <w:rPr>
          <w:rFonts w:eastAsia="Times New Roman" w:cs="Times New Roman"/>
          <w:szCs w:val="24"/>
        </w:rPr>
        <w:t>%</w:t>
      </w:r>
      <w:r w:rsidRPr="00BC4FC7">
        <w:rPr>
          <w:rFonts w:cs="Times New Roman"/>
          <w:szCs w:val="24"/>
        </w:rPr>
        <w:t xml:space="preserve"> specificity) while PC can indicate PE at a cut-off value ≤ 176.5</w:t>
      </w:r>
      <w:r w:rsidRPr="00BC4FC7">
        <w:rPr>
          <w:rFonts w:cs="Times New Roman"/>
          <w:szCs w:val="24"/>
          <w:shd w:val="clear" w:color="auto" w:fill="FFFFFF"/>
        </w:rPr>
        <w:t>× </w:t>
      </w:r>
      <w:r w:rsidRPr="00BC4FC7">
        <w:rPr>
          <w:rStyle w:val="fontstyle01"/>
          <w:rFonts w:cs="Times New Roman"/>
          <w:color w:val="auto"/>
          <w:szCs w:val="24"/>
        </w:rPr>
        <w:t>10</w:t>
      </w:r>
      <w:r w:rsidRPr="00BC4FC7">
        <w:rPr>
          <w:rStyle w:val="fontstyle01"/>
          <w:rFonts w:cs="Times New Roman"/>
          <w:color w:val="auto"/>
          <w:szCs w:val="24"/>
          <w:vertAlign w:val="superscript"/>
        </w:rPr>
        <w:t>9</w:t>
      </w:r>
      <w:r w:rsidRPr="00BC4FC7">
        <w:rPr>
          <w:rStyle w:val="fontstyle01"/>
          <w:rFonts w:cs="Times New Roman"/>
          <w:color w:val="auto"/>
          <w:szCs w:val="24"/>
        </w:rPr>
        <w:t>/L (</w:t>
      </w:r>
      <w:r w:rsidRPr="00BC4FC7">
        <w:rPr>
          <w:rFonts w:cs="Times New Roman"/>
          <w:szCs w:val="24"/>
        </w:rPr>
        <w:t xml:space="preserve">65.1% sensitivity and 87.3% specificity). </w:t>
      </w:r>
    </w:p>
    <w:p w:rsidR="00BC4FC7" w:rsidRPr="00BC4FC7" w:rsidRDefault="00BC4FC7" w:rsidP="00BC4FC7">
      <w:pPr>
        <w:spacing w:after="0" w:line="360" w:lineRule="auto"/>
        <w:rPr>
          <w:rFonts w:cs="Times New Roman"/>
          <w:szCs w:val="24"/>
        </w:rPr>
      </w:pPr>
      <w:r w:rsidRPr="00BC4FC7">
        <w:rPr>
          <w:rFonts w:cs="Times New Roman"/>
          <w:b/>
          <w:szCs w:val="24"/>
        </w:rPr>
        <w:t>Conclusion</w:t>
      </w:r>
      <w:r w:rsidRPr="00BC4FC7">
        <w:rPr>
          <w:rFonts w:cs="Times New Roman"/>
          <w:szCs w:val="24"/>
        </w:rPr>
        <w:t xml:space="preserve">: A decreased PC and an increased MPV, P-LCR, and PDW can be used </w:t>
      </w:r>
      <w:r w:rsidRPr="00BC4FC7">
        <w:rPr>
          <w:rStyle w:val="fontstyle01"/>
          <w:rFonts w:cs="Times New Roman"/>
          <w:color w:val="auto"/>
          <w:szCs w:val="24"/>
        </w:rPr>
        <w:t>as a simple, cost-effective, quick, and reliable method</w:t>
      </w:r>
      <w:r w:rsidRPr="00BC4FC7">
        <w:rPr>
          <w:rFonts w:cs="Times New Roman"/>
          <w:szCs w:val="24"/>
          <w:shd w:val="clear" w:color="auto" w:fill="FFFFFF"/>
        </w:rPr>
        <w:t xml:space="preserve"> </w:t>
      </w:r>
      <w:r w:rsidRPr="00BC4FC7">
        <w:rPr>
          <w:rStyle w:val="fontstyle01"/>
          <w:rFonts w:cs="Times New Roman"/>
          <w:color w:val="auto"/>
          <w:szCs w:val="24"/>
        </w:rPr>
        <w:t xml:space="preserve">of PE </w:t>
      </w:r>
      <w:r w:rsidRPr="00BC4FC7">
        <w:rPr>
          <w:rFonts w:cs="Times New Roman"/>
          <w:szCs w:val="24"/>
          <w:shd w:val="clear" w:color="auto" w:fill="FFFFFF"/>
        </w:rPr>
        <w:t>screening</w:t>
      </w:r>
      <w:r w:rsidRPr="00BC4FC7">
        <w:rPr>
          <w:rFonts w:cs="Times New Roman"/>
          <w:szCs w:val="24"/>
        </w:rPr>
        <w:t xml:space="preserve">. </w:t>
      </w:r>
      <w:r w:rsidRPr="00BC4FC7">
        <w:rPr>
          <w:rStyle w:val="fontstyle01"/>
          <w:rFonts w:cs="Times New Roman"/>
          <w:color w:val="auto"/>
          <w:szCs w:val="24"/>
        </w:rPr>
        <w:t xml:space="preserve">Of them, MPV is the best indicator of PE. </w:t>
      </w:r>
    </w:p>
    <w:p w:rsidR="00C00CD7" w:rsidRDefault="00C00CD7"/>
    <w:p w:rsidR="00BC4FC7" w:rsidRDefault="00BC4FC7"/>
    <w:p w:rsidR="007D4E42" w:rsidRDefault="007D4E42"/>
    <w:p w:rsidR="00BC4FC7" w:rsidRDefault="00BC4FC7">
      <w:r>
        <w:lastRenderedPageBreak/>
        <w:t>IMAG</w:t>
      </w:r>
    </w:p>
    <w:p w:rsidR="00BC4FC7" w:rsidRDefault="00BC4FC7" w:rsidP="007D4E42">
      <w:pPr>
        <w:keepNext/>
        <w:spacing w:after="0"/>
      </w:pPr>
      <w:r w:rsidRPr="00BC4FC7">
        <w:drawing>
          <wp:inline distT="0" distB="0" distL="0" distR="0">
            <wp:extent cx="5615305" cy="4970145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305" cy="497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4FC7" w:rsidRDefault="00BC4FC7" w:rsidP="007D4E42">
      <w:pPr>
        <w:pStyle w:val="Caption"/>
        <w:spacing w:after="0"/>
      </w:pPr>
      <w:r>
        <w:t xml:space="preserve">Figure </w:t>
      </w:r>
      <w:fldSimple w:instr=" SEQ Figure \* ARABIC ">
        <w:r>
          <w:rPr>
            <w:noProof/>
          </w:rPr>
          <w:t>1</w:t>
        </w:r>
      </w:fldSimple>
      <w:r>
        <w:t>: Graphical abstract Image of this research</w:t>
      </w:r>
    </w:p>
    <w:p w:rsidR="00BC4FC7" w:rsidRDefault="00BC4FC7" w:rsidP="007D4E42">
      <w:pPr>
        <w:spacing w:after="0"/>
        <w:rPr>
          <w:b/>
        </w:rPr>
      </w:pPr>
      <w:r w:rsidRPr="00BC4FC7">
        <w:rPr>
          <w:b/>
        </w:rPr>
        <w:t>Recent related publications</w:t>
      </w:r>
    </w:p>
    <w:p w:rsidR="00F01B73" w:rsidRDefault="00F01B73" w:rsidP="00F01B73">
      <w:pPr>
        <w:pStyle w:val="EndNoteBibliography"/>
        <w:numPr>
          <w:ilvl w:val="0"/>
          <w:numId w:val="2"/>
        </w:numPr>
        <w:spacing w:after="0"/>
        <w:rPr>
          <w:noProof/>
        </w:rPr>
      </w:pPr>
      <w:r w:rsidRPr="00C45A63">
        <w:rPr>
          <w:noProof/>
        </w:rPr>
        <w:t xml:space="preserve">Abass A-E, Abdalla R, Omer I, Ahmed S, Khalid A, Elzein H. Evaluation of platelets count and indices in pre-eclampsia compared to normal pregnancies. </w:t>
      </w:r>
      <w:r w:rsidRPr="00C45A63">
        <w:rPr>
          <w:i/>
          <w:noProof/>
        </w:rPr>
        <w:t>IOSR Journal of Dental and Medical Sciences</w:t>
      </w:r>
      <w:r w:rsidRPr="00C45A63">
        <w:rPr>
          <w:noProof/>
        </w:rPr>
        <w:t>. 2016;1(15):5-8.</w:t>
      </w:r>
    </w:p>
    <w:p w:rsidR="00F01B73" w:rsidRPr="00C45A63" w:rsidRDefault="00F01B73" w:rsidP="00F01B73">
      <w:pPr>
        <w:pStyle w:val="EndNoteBibliography"/>
        <w:numPr>
          <w:ilvl w:val="0"/>
          <w:numId w:val="2"/>
        </w:numPr>
        <w:spacing w:after="0"/>
        <w:rPr>
          <w:noProof/>
        </w:rPr>
      </w:pPr>
      <w:r w:rsidRPr="00C45A63">
        <w:rPr>
          <w:noProof/>
        </w:rPr>
        <w:t xml:space="preserve">Chen Y, Lin L. Potential value of coagulation parameters for suggesting preeclampsia during the third trimester of pregnancy. </w:t>
      </w:r>
      <w:r w:rsidRPr="00C45A63">
        <w:rPr>
          <w:i/>
          <w:noProof/>
        </w:rPr>
        <w:t>The American journal of the medical sciences</w:t>
      </w:r>
      <w:r w:rsidRPr="00C45A63">
        <w:rPr>
          <w:noProof/>
        </w:rPr>
        <w:t>. 2017;354(1):39-43.</w:t>
      </w:r>
    </w:p>
    <w:p w:rsidR="00F01B73" w:rsidRPr="00C45A63" w:rsidRDefault="00F01B73" w:rsidP="00F01B73">
      <w:pPr>
        <w:pStyle w:val="EndNoteBibliography"/>
        <w:numPr>
          <w:ilvl w:val="0"/>
          <w:numId w:val="2"/>
        </w:numPr>
        <w:spacing w:after="0"/>
        <w:rPr>
          <w:noProof/>
        </w:rPr>
      </w:pPr>
      <w:r w:rsidRPr="00C45A63">
        <w:rPr>
          <w:noProof/>
        </w:rPr>
        <w:t xml:space="preserve">Sitotaw C, Asrie F, Melku M. Evaluation of platelet and white cell parameters among pregnant women with Preeclampsia in Gondar, Northwest Ethiopia: A comparative cross-sectional study. </w:t>
      </w:r>
      <w:r w:rsidRPr="00C45A63">
        <w:rPr>
          <w:i/>
          <w:noProof/>
        </w:rPr>
        <w:t>Pregnancy hypertension</w:t>
      </w:r>
      <w:r w:rsidRPr="00C45A63">
        <w:rPr>
          <w:noProof/>
        </w:rPr>
        <w:t>. 2018;13:242-7.</w:t>
      </w:r>
    </w:p>
    <w:p w:rsidR="00F01B73" w:rsidRPr="00C45A63" w:rsidRDefault="00F01B73" w:rsidP="00F01B73">
      <w:pPr>
        <w:pStyle w:val="EndNoteBibliography"/>
        <w:numPr>
          <w:ilvl w:val="0"/>
          <w:numId w:val="2"/>
        </w:numPr>
        <w:spacing w:after="0"/>
        <w:rPr>
          <w:noProof/>
        </w:rPr>
      </w:pPr>
      <w:r w:rsidRPr="00C45A63">
        <w:rPr>
          <w:noProof/>
        </w:rPr>
        <w:t xml:space="preserve">Thalor N, Singh K, Pujani M, Chauhan V, Agarwal C, Ahuja R. A correlation between platelet indices and preeclampsia. </w:t>
      </w:r>
      <w:r w:rsidRPr="00C45A63">
        <w:rPr>
          <w:i/>
          <w:noProof/>
        </w:rPr>
        <w:t>Hematology, transfusion cell therapy</w:t>
      </w:r>
      <w:r w:rsidRPr="00C45A63">
        <w:rPr>
          <w:noProof/>
        </w:rPr>
        <w:t>. 2019;41(2):129-33.</w:t>
      </w:r>
    </w:p>
    <w:p w:rsidR="00BC4FC7" w:rsidRDefault="00F01B73" w:rsidP="00F01B73">
      <w:pPr>
        <w:pStyle w:val="EndNoteBibliography"/>
        <w:numPr>
          <w:ilvl w:val="0"/>
          <w:numId w:val="2"/>
        </w:numPr>
        <w:rPr>
          <w:noProof/>
        </w:rPr>
      </w:pPr>
      <w:r w:rsidRPr="00C45A63">
        <w:rPr>
          <w:noProof/>
        </w:rPr>
        <w:t xml:space="preserve">Gogoi P, Sinha P, Gupta B, Firmal P, Rajaram S. Neutrophil‐to‐lymphocyte ratio and platelet indices in pre‐eclampsia. </w:t>
      </w:r>
      <w:r w:rsidRPr="00C45A63">
        <w:rPr>
          <w:i/>
          <w:noProof/>
        </w:rPr>
        <w:t>International Journal of Gynecology Obstetrics</w:t>
      </w:r>
      <w:r w:rsidRPr="00C45A63">
        <w:rPr>
          <w:noProof/>
        </w:rPr>
        <w:t>. 2019;144(1):16-20.</w:t>
      </w:r>
    </w:p>
    <w:p w:rsidR="00BC4FC7" w:rsidRPr="00BC4FC7" w:rsidRDefault="007D4E42" w:rsidP="007D4E42">
      <w:pPr>
        <w:pStyle w:val="EndNoteBibliography"/>
        <w:spacing w:after="0"/>
        <w:ind w:left="720"/>
        <w:rPr>
          <w:noProof/>
        </w:rPr>
      </w:pPr>
      <w:r>
        <w:rPr>
          <w:noProof/>
        </w:rPr>
        <w:t xml:space="preserve">Email: </w:t>
      </w:r>
      <w:hyperlink r:id="rId6" w:history="1">
        <w:r w:rsidRPr="001D488D">
          <w:rPr>
            <w:rStyle w:val="Hyperlink"/>
            <w:rFonts w:cs="Times New Roman"/>
            <w:szCs w:val="24"/>
            <w:u w:color="0000FF"/>
          </w:rPr>
          <w:t>muluken.walle23@gmail.com</w:t>
        </w:r>
      </w:hyperlink>
    </w:p>
    <w:sectPr w:rsidR="00BC4FC7" w:rsidRPr="00BC4FC7" w:rsidSect="003C1A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vOT1ef757c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3421E7"/>
    <w:multiLevelType w:val="multilevel"/>
    <w:tmpl w:val="3FBED2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8AB33D6"/>
    <w:multiLevelType w:val="hybridMultilevel"/>
    <w:tmpl w:val="71EE4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C4FC7"/>
    <w:rsid w:val="00322E73"/>
    <w:rsid w:val="00360C5C"/>
    <w:rsid w:val="003B287D"/>
    <w:rsid w:val="003C1A25"/>
    <w:rsid w:val="007D4E42"/>
    <w:rsid w:val="00BC4FC7"/>
    <w:rsid w:val="00C00CD7"/>
    <w:rsid w:val="00D77D47"/>
    <w:rsid w:val="00F01B73"/>
    <w:rsid w:val="00F124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FC7"/>
    <w:pPr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BC4FC7"/>
    <w:pPr>
      <w:shd w:val="clear" w:color="auto" w:fill="FFFFFF"/>
      <w:spacing w:before="120" w:after="120" w:line="360" w:lineRule="auto"/>
      <w:outlineLvl w:val="0"/>
    </w:pPr>
    <w:rPr>
      <w:color w:val="4F81BD" w:themeColor="accent1"/>
      <w:sz w:val="2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BC4FC7"/>
    <w:rPr>
      <w:rFonts w:ascii="Times New Roman" w:hAnsi="Times New Roman"/>
      <w:color w:val="4F81BD" w:themeColor="accent1"/>
      <w:sz w:val="28"/>
      <w:szCs w:val="18"/>
      <w:shd w:val="clear" w:color="auto" w:fill="FFFFFF"/>
    </w:rPr>
  </w:style>
  <w:style w:type="character" w:customStyle="1" w:styleId="fontstyle01">
    <w:name w:val="fontstyle01"/>
    <w:basedOn w:val="DefaultParagraphFont"/>
    <w:qFormat/>
    <w:rsid w:val="00BC4FC7"/>
    <w:rPr>
      <w:rFonts w:ascii="AdvOT1ef757c0" w:hAnsi="AdvOT1ef757c0" w:hint="default"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4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4FC7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BC4FC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BC4FC7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qFormat/>
    <w:rsid w:val="00F01B73"/>
    <w:pPr>
      <w:spacing w:line="240" w:lineRule="auto"/>
    </w:pPr>
    <w:rPr>
      <w:rFonts w:ascii="Calibri" w:hAnsi="Calibri" w:cs="Calibri"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F01B73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qFormat/>
    <w:rsid w:val="007D4E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uluken.walle23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Muluken Walle</dc:creator>
  <cp:lastModifiedBy>Muluken Walle</cp:lastModifiedBy>
  <cp:revision>1</cp:revision>
  <dcterms:created xsi:type="dcterms:W3CDTF">2022-03-03T20:09:00Z</dcterms:created>
  <dcterms:modified xsi:type="dcterms:W3CDTF">2022-03-03T20:46:00Z</dcterms:modified>
</cp:coreProperties>
</file>