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34B" w:rsidRPr="00E3234B" w:rsidRDefault="00E3234B" w:rsidP="00E3234B">
      <w:pPr>
        <w:shd w:val="clear" w:color="auto" w:fill="FFFFFF"/>
        <w:spacing w:after="0" w:line="240" w:lineRule="auto"/>
        <w:jc w:val="center"/>
        <w:rPr>
          <w:rFonts w:ascii="Arial" w:eastAsia="Times New Roman" w:hAnsi="Arial" w:cs="Arial"/>
          <w:color w:val="222222"/>
          <w:sz w:val="32"/>
          <w:szCs w:val="32"/>
          <w:lang w:val="en-GB"/>
        </w:rPr>
      </w:pPr>
      <w:bookmarkStart w:id="0" w:name="_GoBack"/>
      <w:r w:rsidRPr="00E3234B">
        <w:rPr>
          <w:rFonts w:ascii="Arial" w:eastAsia="Times New Roman" w:hAnsi="Arial" w:cs="Arial"/>
          <w:color w:val="222222"/>
          <w:sz w:val="32"/>
          <w:szCs w:val="32"/>
          <w:lang w:val="en-GB"/>
        </w:rPr>
        <w:t>Advances in wind energy conversion</w:t>
      </w:r>
    </w:p>
    <w:bookmarkEnd w:id="0"/>
    <w:p w:rsidR="00E3234B" w:rsidRDefault="00E3234B" w:rsidP="00E3234B">
      <w:pPr>
        <w:shd w:val="clear" w:color="auto" w:fill="FFFFFF"/>
        <w:spacing w:after="0" w:line="240" w:lineRule="auto"/>
        <w:jc w:val="center"/>
        <w:rPr>
          <w:rFonts w:ascii="Arial" w:eastAsia="Times New Roman" w:hAnsi="Arial" w:cs="Arial"/>
          <w:color w:val="222222"/>
          <w:sz w:val="20"/>
          <w:szCs w:val="20"/>
          <w:lang w:val="en-GB"/>
        </w:rPr>
      </w:pPr>
      <w:proofErr w:type="spellStart"/>
      <w:r>
        <w:rPr>
          <w:rFonts w:ascii="Arial" w:eastAsia="Times New Roman" w:hAnsi="Arial" w:cs="Arial"/>
          <w:color w:val="222222"/>
          <w:sz w:val="20"/>
          <w:szCs w:val="20"/>
          <w:lang w:val="en-GB"/>
        </w:rPr>
        <w:t>Asfaw</w:t>
      </w:r>
      <w:proofErr w:type="spellEnd"/>
      <w:r>
        <w:rPr>
          <w:rFonts w:ascii="Arial" w:eastAsia="Times New Roman" w:hAnsi="Arial" w:cs="Arial"/>
          <w:color w:val="222222"/>
          <w:sz w:val="20"/>
          <w:szCs w:val="20"/>
          <w:lang w:val="en-GB"/>
        </w:rPr>
        <w:t xml:space="preserve"> Beyene, Ph.D.</w:t>
      </w:r>
    </w:p>
    <w:p w:rsidR="00E3234B" w:rsidRPr="00E3234B" w:rsidRDefault="00E3234B" w:rsidP="00E3234B">
      <w:pPr>
        <w:shd w:val="clear" w:color="auto" w:fill="FFFFFF"/>
        <w:spacing w:after="0" w:line="240" w:lineRule="auto"/>
        <w:jc w:val="center"/>
        <w:rPr>
          <w:rFonts w:ascii="Arial" w:eastAsia="Times New Roman" w:hAnsi="Arial" w:cs="Arial"/>
          <w:color w:val="222222"/>
          <w:sz w:val="20"/>
          <w:szCs w:val="20"/>
          <w:lang w:val="en-GB"/>
        </w:rPr>
      </w:pPr>
      <w:r w:rsidRPr="00E3234B">
        <w:rPr>
          <w:rFonts w:ascii="Arial" w:eastAsia="Times New Roman" w:hAnsi="Arial" w:cs="Arial"/>
          <w:color w:val="222222"/>
          <w:sz w:val="20"/>
          <w:szCs w:val="20"/>
          <w:lang w:val="en-GB"/>
        </w:rPr>
        <w:t>Department of Mechanical Engineering</w:t>
      </w:r>
    </w:p>
    <w:p w:rsidR="00E3234B" w:rsidRPr="00E3234B" w:rsidRDefault="00E3234B" w:rsidP="00E3234B">
      <w:pPr>
        <w:shd w:val="clear" w:color="auto" w:fill="FFFFFF"/>
        <w:spacing w:after="0" w:line="240" w:lineRule="auto"/>
        <w:jc w:val="center"/>
        <w:rPr>
          <w:rFonts w:ascii="Arial" w:eastAsia="Times New Roman" w:hAnsi="Arial" w:cs="Arial"/>
          <w:color w:val="222222"/>
          <w:sz w:val="20"/>
          <w:szCs w:val="20"/>
          <w:lang w:val="en-GB"/>
        </w:rPr>
      </w:pPr>
      <w:r w:rsidRPr="00E3234B">
        <w:rPr>
          <w:rFonts w:ascii="Arial" w:eastAsia="Times New Roman" w:hAnsi="Arial" w:cs="Arial"/>
          <w:color w:val="222222"/>
          <w:sz w:val="20"/>
          <w:szCs w:val="20"/>
          <w:lang w:val="en-GB"/>
        </w:rPr>
        <w:t>San Diego State University</w:t>
      </w:r>
    </w:p>
    <w:p w:rsidR="00E3234B" w:rsidRDefault="00E3234B" w:rsidP="00E3234B">
      <w:pPr>
        <w:shd w:val="clear" w:color="auto" w:fill="FFFFFF"/>
        <w:spacing w:after="0" w:line="240" w:lineRule="auto"/>
        <w:jc w:val="center"/>
        <w:rPr>
          <w:rFonts w:ascii="Arial" w:eastAsia="Times New Roman" w:hAnsi="Arial" w:cs="Arial"/>
          <w:color w:val="222222"/>
          <w:sz w:val="20"/>
          <w:szCs w:val="20"/>
          <w:lang w:val="en-GB"/>
        </w:rPr>
      </w:pPr>
      <w:r w:rsidRPr="00E3234B">
        <w:rPr>
          <w:rFonts w:ascii="Arial" w:eastAsia="Times New Roman" w:hAnsi="Arial" w:cs="Arial"/>
          <w:color w:val="222222"/>
          <w:sz w:val="20"/>
          <w:szCs w:val="20"/>
          <w:lang w:val="en-GB"/>
        </w:rPr>
        <w:t>San Diego CA 92182</w:t>
      </w:r>
    </w:p>
    <w:p w:rsidR="00E3234B" w:rsidRDefault="00E3234B" w:rsidP="00E3234B">
      <w:pPr>
        <w:shd w:val="clear" w:color="auto" w:fill="FFFFFF"/>
        <w:spacing w:after="0" w:line="240" w:lineRule="auto"/>
        <w:jc w:val="center"/>
        <w:rPr>
          <w:rFonts w:ascii="Arial" w:eastAsia="Times New Roman" w:hAnsi="Arial" w:cs="Arial"/>
          <w:color w:val="222222"/>
          <w:sz w:val="20"/>
          <w:szCs w:val="20"/>
          <w:lang w:val="en-GB"/>
        </w:rPr>
      </w:pPr>
    </w:p>
    <w:p w:rsidR="00E3234B" w:rsidRPr="00B31314" w:rsidRDefault="00E3234B" w:rsidP="00E3234B">
      <w:pPr>
        <w:shd w:val="clear" w:color="auto" w:fill="FFFFFF"/>
        <w:spacing w:after="0" w:line="240" w:lineRule="auto"/>
        <w:rPr>
          <w:rFonts w:ascii="Arial" w:eastAsia="Times New Roman" w:hAnsi="Arial" w:cs="Arial"/>
          <w:color w:val="222222"/>
          <w:sz w:val="24"/>
          <w:szCs w:val="24"/>
        </w:rPr>
      </w:pPr>
      <w:r w:rsidRPr="00B31314">
        <w:rPr>
          <w:rFonts w:ascii="Arial" w:eastAsia="Times New Roman" w:hAnsi="Arial" w:cs="Arial"/>
          <w:color w:val="222222"/>
          <w:sz w:val="24"/>
          <w:szCs w:val="24"/>
        </w:rPr>
        <w:t>Abstract</w:t>
      </w:r>
    </w:p>
    <w:p w:rsidR="00E3234B" w:rsidRPr="00B31314" w:rsidRDefault="00E3234B" w:rsidP="00E3234B">
      <w:pPr>
        <w:shd w:val="clear" w:color="auto" w:fill="FFFFFF"/>
        <w:spacing w:before="100" w:beforeAutospacing="1" w:after="100" w:afterAutospacing="1" w:line="240" w:lineRule="auto"/>
        <w:jc w:val="both"/>
        <w:rPr>
          <w:rFonts w:ascii="Arial" w:eastAsia="Times New Roman" w:hAnsi="Arial" w:cs="Arial"/>
          <w:color w:val="222222"/>
          <w:sz w:val="24"/>
          <w:szCs w:val="24"/>
        </w:rPr>
      </w:pPr>
      <w:r w:rsidRPr="00B31314">
        <w:rPr>
          <w:rFonts w:ascii="Arial" w:eastAsia="Times New Roman" w:hAnsi="Arial" w:cs="Arial"/>
          <w:color w:val="222222"/>
          <w:sz w:val="20"/>
          <w:szCs w:val="20"/>
          <w:lang w:val="en-GB"/>
        </w:rPr>
        <w:t xml:space="preserve">Wind energy has emerged as a reliable technology, and as a renewable form, it has benefited from growing policy support which contributed to its sharp rise in share and market.  however, the technology still faces some challenges, especially related to its intermittent and part-load operation.   off-design operation is a serious matter because system efficiency drops considerably at off-design loads, </w:t>
      </w:r>
      <w:proofErr w:type="gramStart"/>
      <w:r w:rsidRPr="00B31314">
        <w:rPr>
          <w:rFonts w:ascii="Arial" w:eastAsia="Times New Roman" w:hAnsi="Arial" w:cs="Arial"/>
          <w:color w:val="222222"/>
          <w:sz w:val="20"/>
          <w:szCs w:val="20"/>
          <w:lang w:val="en-GB"/>
        </w:rPr>
        <w:t>One</w:t>
      </w:r>
      <w:proofErr w:type="gramEnd"/>
      <w:r w:rsidRPr="00B31314">
        <w:rPr>
          <w:rFonts w:ascii="Arial" w:eastAsia="Times New Roman" w:hAnsi="Arial" w:cs="Arial"/>
          <w:color w:val="222222"/>
          <w:sz w:val="20"/>
          <w:szCs w:val="20"/>
          <w:lang w:val="en-GB"/>
        </w:rPr>
        <w:t xml:space="preserve"> strategy to address this challenge for wind turbine blades, and obtain a more consistent efficiency over a wide load range, is varying the blade geometry.  Predictable morphing of wind turbine blade in reaction to wind load conditions has been introduced recently. The concept, derived from fish locomotion, also has similarities to spoilers and ailerons, known to reduce flow separation and improve performance using passive changes in blade geometry.  In this work, we employ a fully coupled technique on CFD and FEM models to introduce continuous morph to desired and predetermined blade design geometry, the NACA 4412 profile, which is commonly used in wind turbine applications.  Then we assess the aerodynamic behaviour of a morphing wind turbine </w:t>
      </w:r>
      <w:proofErr w:type="spellStart"/>
      <w:r w:rsidRPr="00B31314">
        <w:rPr>
          <w:rFonts w:ascii="Arial" w:eastAsia="Times New Roman" w:hAnsi="Arial" w:cs="Arial"/>
          <w:color w:val="222222"/>
          <w:sz w:val="20"/>
          <w:szCs w:val="20"/>
          <w:lang w:val="en-GB"/>
        </w:rPr>
        <w:t>airfoil</w:t>
      </w:r>
      <w:proofErr w:type="spellEnd"/>
      <w:r w:rsidRPr="00B31314">
        <w:rPr>
          <w:rFonts w:ascii="Arial" w:eastAsia="Times New Roman" w:hAnsi="Arial" w:cs="Arial"/>
          <w:color w:val="222222"/>
          <w:sz w:val="20"/>
          <w:szCs w:val="20"/>
          <w:lang w:val="en-GB"/>
        </w:rPr>
        <w:t xml:space="preserve"> using a two-dimensional computation.  The work is focused on resolving force distribution based on trailing edge deflection, wind speed, and material elasticity, i.e., Young’s Module.  The computational and wind tunnel results will be presented together with a summary of the prospects for the industry. </w:t>
      </w:r>
    </w:p>
    <w:p w:rsidR="00E3234B" w:rsidRDefault="00E3234B" w:rsidP="00E3234B"/>
    <w:p w:rsidR="00DA11E3" w:rsidRDefault="00DA11E3"/>
    <w:sectPr w:rsidR="00DA1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4B"/>
    <w:rsid w:val="00DA11E3"/>
    <w:rsid w:val="00E32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54FC"/>
  <w15:chartTrackingRefBased/>
  <w15:docId w15:val="{38480115-ADB7-4335-8199-8671B733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23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Beyene</dc:creator>
  <cp:keywords/>
  <dc:description/>
  <cp:lastModifiedBy>Beyene</cp:lastModifiedBy>
  <cp:revision>1</cp:revision>
  <dcterms:created xsi:type="dcterms:W3CDTF">2017-11-03T04:20:00Z</dcterms:created>
  <dcterms:modified xsi:type="dcterms:W3CDTF">2017-11-03T04:21:00Z</dcterms:modified>
</cp:coreProperties>
</file>