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1ADE" w:rsidRDefault="00666661" w:rsidP="00AD7CBF">
      <w:pPr>
        <w:jc w:val="both"/>
        <w:rPr>
          <w:b/>
          <w:bCs/>
          <w:sz w:val="24"/>
          <w:szCs w:val="24"/>
        </w:rPr>
      </w:pPr>
      <w:bookmarkStart w:id="0" w:name="_GoBack"/>
      <w:r w:rsidRPr="00AD7CBF">
        <w:rPr>
          <w:b/>
          <w:bCs/>
          <w:sz w:val="24"/>
          <w:szCs w:val="24"/>
        </w:rPr>
        <w:t xml:space="preserve">Simultaneous double free flap </w:t>
      </w:r>
      <w:r w:rsidR="00DD1ADE" w:rsidRPr="00AD7CBF">
        <w:rPr>
          <w:b/>
          <w:bCs/>
          <w:sz w:val="24"/>
          <w:szCs w:val="24"/>
        </w:rPr>
        <w:t xml:space="preserve">reconstruction in patients with advanced oral squamous cell carcinoma: </w:t>
      </w:r>
      <w:r w:rsidRPr="00AD7CBF">
        <w:rPr>
          <w:b/>
          <w:bCs/>
          <w:sz w:val="24"/>
          <w:szCs w:val="24"/>
        </w:rPr>
        <w:t xml:space="preserve">A case series and </w:t>
      </w:r>
      <w:r w:rsidR="00DD1ADE" w:rsidRPr="00AD7CBF">
        <w:rPr>
          <w:b/>
          <w:bCs/>
          <w:sz w:val="24"/>
          <w:szCs w:val="24"/>
        </w:rPr>
        <w:t>analysis of patient</w:t>
      </w:r>
      <w:r w:rsidRPr="00AD7CBF">
        <w:rPr>
          <w:b/>
          <w:bCs/>
          <w:sz w:val="24"/>
          <w:szCs w:val="24"/>
        </w:rPr>
        <w:t xml:space="preserve"> survival.</w:t>
      </w:r>
    </w:p>
    <w:p w:rsidR="00E14444" w:rsidRPr="00AD7CBF" w:rsidRDefault="00E14444" w:rsidP="00AD7CBF">
      <w:pPr>
        <w:jc w:val="both"/>
        <w:rPr>
          <w:b/>
          <w:bCs/>
          <w:sz w:val="24"/>
          <w:szCs w:val="24"/>
        </w:rPr>
      </w:pPr>
      <w:r>
        <w:rPr>
          <w:b/>
          <w:bCs/>
          <w:sz w:val="24"/>
          <w:szCs w:val="24"/>
        </w:rPr>
        <w:t>Corresponding Author: Jimmy Kayastha, DDS, MS</w:t>
      </w:r>
    </w:p>
    <w:p w:rsidR="00DD1ADE" w:rsidRPr="00DD1ADE" w:rsidRDefault="00DD1ADE" w:rsidP="00AD7CBF">
      <w:pPr>
        <w:jc w:val="both"/>
        <w:rPr>
          <w:b/>
          <w:bCs/>
        </w:rPr>
      </w:pPr>
      <w:r w:rsidRPr="00DD1ADE">
        <w:rPr>
          <w:b/>
          <w:bCs/>
        </w:rPr>
        <w:t>Abstract</w:t>
      </w:r>
    </w:p>
    <w:p w:rsidR="00DD1ADE" w:rsidRPr="00DD1ADE" w:rsidRDefault="00AD7CBF" w:rsidP="00AD7CBF">
      <w:pPr>
        <w:jc w:val="both"/>
        <w:rPr>
          <w:b/>
          <w:bCs/>
        </w:rPr>
      </w:pPr>
      <w:r>
        <w:rPr>
          <w:b/>
          <w:bCs/>
        </w:rPr>
        <w:t>Background</w:t>
      </w:r>
    </w:p>
    <w:p w:rsidR="00DD1ADE" w:rsidRPr="00DD1ADE" w:rsidRDefault="00DD1ADE" w:rsidP="00AD7CBF">
      <w:pPr>
        <w:jc w:val="both"/>
      </w:pPr>
      <w:r w:rsidRPr="00DD1ADE">
        <w:t xml:space="preserve">The purpose of this study was to </w:t>
      </w:r>
      <w:r w:rsidR="00EF546E">
        <w:t xml:space="preserve">assess the </w:t>
      </w:r>
      <w:r w:rsidR="006A7C2B">
        <w:t xml:space="preserve">effect of free-flap reconstruction </w:t>
      </w:r>
      <w:r w:rsidRPr="00DD1ADE">
        <w:t>of patients with advanced stage IV oral squamous cell c</w:t>
      </w:r>
      <w:r w:rsidR="006A7C2B">
        <w:t xml:space="preserve">arcinoma </w:t>
      </w:r>
      <w:r w:rsidR="006A7C2B" w:rsidRPr="00DD1ADE">
        <w:t>following</w:t>
      </w:r>
      <w:r w:rsidRPr="00DD1ADE">
        <w:t xml:space="preserve"> ablative tumor resection.</w:t>
      </w:r>
      <w:r w:rsidR="00EF546E" w:rsidRPr="00EF546E">
        <w:t xml:space="preserve"> </w:t>
      </w:r>
      <w:r w:rsidR="00DC04E2" w:rsidRPr="00DC04E2">
        <w:t>The purpose of this study is to elucidate the reconstructive indications of the use of simultaneous double free flaps in head and neck oncological surgery.</w:t>
      </w:r>
    </w:p>
    <w:p w:rsidR="00DD1ADE" w:rsidRPr="00DD1ADE" w:rsidRDefault="00AD7CBF" w:rsidP="00AD7CBF">
      <w:pPr>
        <w:jc w:val="both"/>
        <w:rPr>
          <w:b/>
          <w:bCs/>
        </w:rPr>
      </w:pPr>
      <w:r>
        <w:rPr>
          <w:b/>
          <w:bCs/>
        </w:rPr>
        <w:t>Method</w:t>
      </w:r>
    </w:p>
    <w:p w:rsidR="006A7C2B" w:rsidRPr="006A7C2B" w:rsidRDefault="006A7C2B" w:rsidP="00AD7CBF">
      <w:pPr>
        <w:jc w:val="both"/>
      </w:pPr>
      <w:r>
        <w:t xml:space="preserve">The study was based on a restrospective cohort of 76 </w:t>
      </w:r>
      <w:r w:rsidR="00AD7CBF">
        <w:t>patients</w:t>
      </w:r>
      <w:r>
        <w:t xml:space="preserve"> with </w:t>
      </w:r>
      <w:r w:rsidR="00DD1ADE" w:rsidRPr="00DD1ADE">
        <w:t>pathological stage IV OSCC patients (without distant metastasis) treated by tumor ablation with free flap reconstruction</w:t>
      </w:r>
      <w:r>
        <w:t>.</w:t>
      </w:r>
      <w:r w:rsidRPr="006A7C2B">
        <w:t xml:space="preserve"> </w:t>
      </w:r>
      <w:r>
        <w:t>Of the 76</w:t>
      </w:r>
      <w:r w:rsidRPr="006A7C2B">
        <w:t xml:space="preserve"> patients, 49</w:t>
      </w:r>
      <w:r>
        <w:t xml:space="preserve"> (Group 1, Test)</w:t>
      </w:r>
      <w:r w:rsidRPr="006A7C2B">
        <w:t xml:space="preserve"> underwent surgical reconstruction with microvascular tiss</w:t>
      </w:r>
      <w:r>
        <w:t xml:space="preserve">ue transfer and in 27 (Group 2, Control) </w:t>
      </w:r>
      <w:r w:rsidRPr="006A7C2B">
        <w:t>only local or regional flaps were used.</w:t>
      </w:r>
      <w:r>
        <w:t xml:space="preserve"> </w:t>
      </w:r>
      <w:r w:rsidR="00AD7CBF" w:rsidRPr="00AD7CBF">
        <w:t>Fibula osteo-cutaneous free flap was used in associa</w:t>
      </w:r>
      <w:r w:rsidR="00AD7CBF">
        <w:t>tion with forearm free flap in 18</w:t>
      </w:r>
      <w:r w:rsidR="00AD7CBF" w:rsidRPr="00AD7CBF">
        <w:t xml:space="preserve"> ca</w:t>
      </w:r>
      <w:r w:rsidR="00AD7CBF">
        <w:t>ses, fibula osseous-forearm in 7</w:t>
      </w:r>
      <w:r w:rsidR="00AD7CBF" w:rsidRPr="00AD7CBF">
        <w:t xml:space="preserve"> cases, fibula osseous-rectus abdominis in 1 case, iliac crest-forearm in 1 case. Forearm free flap was used for intra-o</w:t>
      </w:r>
      <w:r w:rsidR="00AD7CBF">
        <w:t xml:space="preserve">ral reconstruction in all cases. </w:t>
      </w:r>
      <w:r w:rsidR="00DD1ADE" w:rsidRPr="00DD1ADE">
        <w:t>We compared patient survival and cancer recurrence</w:t>
      </w:r>
      <w:r>
        <w:t xml:space="preserve"> rates between these two groups.</w:t>
      </w:r>
    </w:p>
    <w:p w:rsidR="00DD1ADE" w:rsidRDefault="00AD7CBF" w:rsidP="00AD7CBF">
      <w:pPr>
        <w:jc w:val="both"/>
        <w:rPr>
          <w:b/>
          <w:bCs/>
        </w:rPr>
      </w:pPr>
      <w:r>
        <w:rPr>
          <w:b/>
          <w:bCs/>
        </w:rPr>
        <w:t>Result</w:t>
      </w:r>
    </w:p>
    <w:p w:rsidR="006A7C2B" w:rsidRPr="00DC04E2" w:rsidRDefault="00DC04E2" w:rsidP="00AD7CBF">
      <w:pPr>
        <w:jc w:val="both"/>
        <w:rPr>
          <w:bCs/>
        </w:rPr>
      </w:pPr>
      <w:r w:rsidRPr="00DC04E2">
        <w:rPr>
          <w:bCs/>
        </w:rPr>
        <w:t xml:space="preserve">Despite the unfavorably expected prognosis in group </w:t>
      </w:r>
      <w:r>
        <w:rPr>
          <w:bCs/>
        </w:rPr>
        <w:t>1, both positive margin rate (12.2% in Group 1 versus 21.5% in Group 2, P = 0.112) and cancer recurrence rate (26.6% in Group 1 versus 28.3% in Group 2; P = 0.671</w:t>
      </w:r>
      <w:r w:rsidRPr="00DC04E2">
        <w:rPr>
          <w:bCs/>
        </w:rPr>
        <w:t xml:space="preserve">) were not significantly different between the two groups. </w:t>
      </w:r>
      <w:r w:rsidR="006A7C2B" w:rsidRPr="00DC04E2">
        <w:rPr>
          <w:bCs/>
        </w:rPr>
        <w:t>At the end of the follow-up period, 23 (47%) and 33 (67.3%) patients had died of oral squamous cell carcinoma in the microvascular reconstructive a</w:t>
      </w:r>
      <w:r>
        <w:rPr>
          <w:bCs/>
        </w:rPr>
        <w:t>nd control group, respectively</w:t>
      </w:r>
      <w:r w:rsidR="006A7C2B" w:rsidRPr="00DC04E2">
        <w:rPr>
          <w:bCs/>
        </w:rPr>
        <w:t>. In the free-flap group, the mean and med</w:t>
      </w:r>
      <w:r>
        <w:rPr>
          <w:bCs/>
        </w:rPr>
        <w:t xml:space="preserve">ian survival time was 54 </w:t>
      </w:r>
      <w:r w:rsidR="006A7C2B" w:rsidRPr="00DC04E2">
        <w:rPr>
          <w:bCs/>
        </w:rPr>
        <w:t>months. In the locoregional flap group, the mea</w:t>
      </w:r>
      <w:r>
        <w:rPr>
          <w:bCs/>
        </w:rPr>
        <w:t xml:space="preserve">n and median survival time was 51 months </w:t>
      </w:r>
      <w:r w:rsidR="006A7C2B" w:rsidRPr="00DC04E2">
        <w:rPr>
          <w:bCs/>
        </w:rPr>
        <w:t xml:space="preserve">respectively. No difference was seen in the survival time between the free-flap and local flap groups (P = .2). Univariate Kaplan-Meier analysis revealed that positive surgical margins were significantly associated with shortened survival in the free-flap group and that recurrence was significant in both reconstructive groups. On multivariate Cox regression analysis, the status </w:t>
      </w:r>
      <w:r>
        <w:rPr>
          <w:bCs/>
        </w:rPr>
        <w:t>of the resection margin (P = .05</w:t>
      </w:r>
      <w:r w:rsidR="006A7C2B" w:rsidRPr="00DC04E2">
        <w:rPr>
          <w:bCs/>
        </w:rPr>
        <w:t>)</w:t>
      </w:r>
      <w:r>
        <w:rPr>
          <w:bCs/>
        </w:rPr>
        <w:t xml:space="preserve"> and tumor recurrence (P &lt; .0004</w:t>
      </w:r>
      <w:r w:rsidR="006A7C2B" w:rsidRPr="00DC04E2">
        <w:rPr>
          <w:bCs/>
        </w:rPr>
        <w:t>) showed a significant relationship with survival.</w:t>
      </w:r>
    </w:p>
    <w:p w:rsidR="00DD1ADE" w:rsidRDefault="00AD7CBF" w:rsidP="00AD7CBF">
      <w:pPr>
        <w:jc w:val="both"/>
        <w:rPr>
          <w:b/>
          <w:bCs/>
        </w:rPr>
      </w:pPr>
      <w:r>
        <w:rPr>
          <w:b/>
          <w:bCs/>
        </w:rPr>
        <w:t>Conclusion</w:t>
      </w:r>
    </w:p>
    <w:p w:rsidR="00FF5A61" w:rsidRDefault="00DC04E2" w:rsidP="00AD7CBF">
      <w:pPr>
        <w:jc w:val="both"/>
        <w:rPr>
          <w:bCs/>
        </w:rPr>
      </w:pPr>
      <w:r w:rsidRPr="00DC04E2">
        <w:rPr>
          <w:bCs/>
        </w:rPr>
        <w:t>Patients with free-flap reconstruction of surgically created defects after oral cancer resection showed a trend toward better 5-year survival.</w:t>
      </w:r>
      <w:r>
        <w:rPr>
          <w:bCs/>
        </w:rPr>
        <w:t xml:space="preserve"> </w:t>
      </w:r>
      <w:r w:rsidR="00AD7CBF">
        <w:rPr>
          <w:bCs/>
        </w:rPr>
        <w:t>S</w:t>
      </w:r>
      <w:r w:rsidR="00AD7CBF" w:rsidRPr="00AD7CBF">
        <w:rPr>
          <w:bCs/>
        </w:rPr>
        <w:t>imultaneous free flap reconstruction, in massive oro-mandibular defects, represents in some selected patients, a good choice to achieve satisfactory aesthetic and functional results.</w:t>
      </w:r>
    </w:p>
    <w:p w:rsidR="005E1743" w:rsidRPr="005E1743" w:rsidRDefault="005E1743" w:rsidP="005E1743">
      <w:pPr>
        <w:jc w:val="both"/>
        <w:rPr>
          <w:b/>
          <w:bCs/>
        </w:rPr>
      </w:pPr>
      <w:r w:rsidRPr="005E1743">
        <w:rPr>
          <w:b/>
          <w:bCs/>
        </w:rPr>
        <w:lastRenderedPageBreak/>
        <w:t>Biography</w:t>
      </w:r>
    </w:p>
    <w:p w:rsidR="005E1743" w:rsidRPr="005E1743" w:rsidRDefault="005E1743" w:rsidP="005E1743">
      <w:pPr>
        <w:jc w:val="both"/>
        <w:rPr>
          <w:bCs/>
        </w:rPr>
      </w:pPr>
      <w:r w:rsidRPr="005E1743">
        <w:rPr>
          <w:bCs/>
        </w:rPr>
        <w:t>Dr. Jimmy Kayastha, is a Consultant in Oral and Maxillofacial Medicine and Surgery at Dental Health Solutions Inc., San Francisco, California. He served as the Director for Advanced Education in General Dentistry Residency program at the Marshfield Clinic, Wisconsin. He was appointed Adjunct Clinical Faculty at Case Western Reserve University and Miami Valley Hospital, Ohio. He earned his doctorate from Nova Southeastern University, Florida. He completed his General Practice Residency at Miami Valley Hospital and Oral Medicine Residency at Carolinas Medical Center. He then completed a</w:t>
      </w:r>
      <w:r w:rsidR="00200F11">
        <w:rPr>
          <w:bCs/>
        </w:rPr>
        <w:t xml:space="preserve"> surgical </w:t>
      </w:r>
      <w:r w:rsidR="00200F11" w:rsidRPr="005E1743">
        <w:rPr>
          <w:bCs/>
        </w:rPr>
        <w:t>Fellowship</w:t>
      </w:r>
      <w:r w:rsidRPr="005E1743">
        <w:rPr>
          <w:bCs/>
        </w:rPr>
        <w:t xml:space="preserve"> from the Cleveland Clinic and Orofacial Pain Fellowship at Walter Reed National Military Medical Center, Maryland and Glasgow Dental Hospital, United Kingdom. He is an int</w:t>
      </w:r>
      <w:r w:rsidR="00200F11">
        <w:rPr>
          <w:bCs/>
        </w:rPr>
        <w:t xml:space="preserve">ernationally recognized speaker and has </w:t>
      </w:r>
      <w:r w:rsidRPr="005E1743">
        <w:rPr>
          <w:bCs/>
        </w:rPr>
        <w:t xml:space="preserve">had scientific publications in the Journal American Medical Informatics Association, Journal American Dental Association and Journal of Oral Surgery, </w:t>
      </w:r>
      <w:r w:rsidR="00AB5B52">
        <w:rPr>
          <w:bCs/>
        </w:rPr>
        <w:t>Oral Medicine, Oral Pathology.</w:t>
      </w:r>
    </w:p>
    <w:p w:rsidR="005E1743" w:rsidRPr="005E1743" w:rsidRDefault="005E1743" w:rsidP="005E1743">
      <w:pPr>
        <w:jc w:val="both"/>
        <w:rPr>
          <w:b/>
          <w:bCs/>
        </w:rPr>
      </w:pPr>
      <w:r w:rsidRPr="005E1743">
        <w:rPr>
          <w:b/>
          <w:bCs/>
        </w:rPr>
        <w:t>Presenting author details</w:t>
      </w:r>
    </w:p>
    <w:p w:rsidR="005E1743" w:rsidRDefault="005E1743" w:rsidP="005E1743">
      <w:pPr>
        <w:spacing w:after="0"/>
        <w:jc w:val="both"/>
        <w:rPr>
          <w:bCs/>
        </w:rPr>
      </w:pPr>
      <w:r w:rsidRPr="005E1743">
        <w:rPr>
          <w:bCs/>
        </w:rPr>
        <w:t>Dr. Jimmy Kayastha</w:t>
      </w:r>
      <w:r>
        <w:rPr>
          <w:bCs/>
        </w:rPr>
        <w:t>, DDS, MS</w:t>
      </w:r>
    </w:p>
    <w:p w:rsidR="005E1743" w:rsidRPr="005E1743" w:rsidRDefault="005E1743" w:rsidP="005E1743">
      <w:pPr>
        <w:spacing w:after="0"/>
        <w:jc w:val="both"/>
        <w:rPr>
          <w:bCs/>
        </w:rPr>
      </w:pPr>
      <w:r w:rsidRPr="005E1743">
        <w:rPr>
          <w:bCs/>
        </w:rPr>
        <w:t>Dental Health Solutions, Inc.</w:t>
      </w:r>
    </w:p>
    <w:p w:rsidR="005E1743" w:rsidRPr="005E1743" w:rsidRDefault="005E1743" w:rsidP="005E1743">
      <w:pPr>
        <w:spacing w:after="0"/>
        <w:jc w:val="both"/>
        <w:rPr>
          <w:bCs/>
        </w:rPr>
      </w:pPr>
      <w:r w:rsidRPr="005E1743">
        <w:rPr>
          <w:bCs/>
        </w:rPr>
        <w:t>1844 San Miguel Dr.</w:t>
      </w:r>
    </w:p>
    <w:p w:rsidR="005E1743" w:rsidRDefault="005E1743" w:rsidP="005E1743">
      <w:pPr>
        <w:spacing w:after="0"/>
        <w:jc w:val="both"/>
        <w:rPr>
          <w:bCs/>
        </w:rPr>
      </w:pPr>
      <w:r w:rsidRPr="005E1743">
        <w:rPr>
          <w:bCs/>
        </w:rPr>
        <w:t>Walnut Creek, CA 94596, USA</w:t>
      </w:r>
    </w:p>
    <w:p w:rsidR="005E1743" w:rsidRPr="005E1743" w:rsidRDefault="005E1743" w:rsidP="005E1743">
      <w:pPr>
        <w:spacing w:after="0"/>
        <w:jc w:val="both"/>
        <w:rPr>
          <w:bCs/>
        </w:rPr>
      </w:pPr>
      <w:r>
        <w:rPr>
          <w:bCs/>
        </w:rPr>
        <w:t>+1 650 796 6114</w:t>
      </w:r>
    </w:p>
    <w:p w:rsidR="005E1743" w:rsidRPr="005E1743" w:rsidRDefault="00AB5B52" w:rsidP="005E1743">
      <w:pPr>
        <w:spacing w:after="0"/>
        <w:jc w:val="both"/>
        <w:rPr>
          <w:bCs/>
        </w:rPr>
      </w:pPr>
      <w:hyperlink r:id="rId5" w:history="1">
        <w:r w:rsidR="005E1743" w:rsidRPr="005E1743">
          <w:rPr>
            <w:rStyle w:val="Hyperlink"/>
            <w:bCs/>
          </w:rPr>
          <w:t>kayastha@mynsu.nova.edu</w:t>
        </w:r>
      </w:hyperlink>
      <w:r w:rsidR="005E1743" w:rsidRPr="005E1743">
        <w:rPr>
          <w:bCs/>
        </w:rPr>
        <w:t xml:space="preserve"> </w:t>
      </w:r>
    </w:p>
    <w:p w:rsidR="005E1743" w:rsidRPr="005E1743" w:rsidRDefault="00AB5B52" w:rsidP="005E1743">
      <w:pPr>
        <w:spacing w:after="0"/>
        <w:jc w:val="both"/>
        <w:rPr>
          <w:bCs/>
        </w:rPr>
      </w:pPr>
      <w:hyperlink r:id="rId6" w:history="1">
        <w:r w:rsidR="005E1743" w:rsidRPr="005E1743">
          <w:rPr>
            <w:rStyle w:val="Hyperlink"/>
            <w:bCs/>
          </w:rPr>
          <w:t>https://twitter.com/jimmykayastha?lang=en</w:t>
        </w:r>
      </w:hyperlink>
    </w:p>
    <w:p w:rsidR="005E1743" w:rsidRPr="005E1743" w:rsidRDefault="00AB5B52" w:rsidP="005E1743">
      <w:pPr>
        <w:spacing w:after="0"/>
        <w:jc w:val="both"/>
        <w:rPr>
          <w:bCs/>
        </w:rPr>
      </w:pPr>
      <w:hyperlink r:id="rId7" w:history="1">
        <w:r w:rsidR="005E1743" w:rsidRPr="005E1743">
          <w:rPr>
            <w:rStyle w:val="Hyperlink"/>
            <w:bCs/>
          </w:rPr>
          <w:t>https://www.linkedin.com/in/jimmykayasthadds/</w:t>
        </w:r>
      </w:hyperlink>
      <w:r w:rsidR="005E1743" w:rsidRPr="005E1743">
        <w:rPr>
          <w:bCs/>
        </w:rPr>
        <w:t xml:space="preserve"> </w:t>
      </w:r>
      <w:r w:rsidR="005E1743" w:rsidRPr="005E1743">
        <w:rPr>
          <w:bCs/>
        </w:rPr>
        <w:tab/>
      </w:r>
    </w:p>
    <w:p w:rsidR="00AB5B52" w:rsidRDefault="00AB5B52" w:rsidP="005E1743">
      <w:pPr>
        <w:jc w:val="both"/>
        <w:rPr>
          <w:bCs/>
        </w:rPr>
      </w:pPr>
    </w:p>
    <w:p w:rsidR="005E1743" w:rsidRPr="005E1743" w:rsidRDefault="005E1743" w:rsidP="005E1743">
      <w:pPr>
        <w:jc w:val="both"/>
        <w:rPr>
          <w:bCs/>
        </w:rPr>
      </w:pPr>
      <w:r w:rsidRPr="005E1743">
        <w:rPr>
          <w:b/>
          <w:bCs/>
        </w:rPr>
        <w:t>Category</w:t>
      </w:r>
      <w:r w:rsidRPr="005E1743">
        <w:rPr>
          <w:bCs/>
        </w:rPr>
        <w:t>: Oral Presentation</w:t>
      </w:r>
    </w:p>
    <w:p w:rsidR="005E1743" w:rsidRPr="00AD7CBF" w:rsidRDefault="00AE252D" w:rsidP="00AD7CBF">
      <w:pPr>
        <w:jc w:val="both"/>
        <w:rPr>
          <w:bCs/>
        </w:rPr>
      </w:pPr>
      <w:r>
        <w:rPr>
          <w:bCs/>
          <w:noProof/>
        </w:rPr>
        <w:drawing>
          <wp:inline distT="0" distB="0" distL="0" distR="0">
            <wp:extent cx="1675435" cy="2184400"/>
            <wp:effectExtent l="0" t="0" r="127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KDDS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75435" cy="2184400"/>
                    </a:xfrm>
                    <a:prstGeom prst="rect">
                      <a:avLst/>
                    </a:prstGeom>
                  </pic:spPr>
                </pic:pic>
              </a:graphicData>
            </a:graphic>
          </wp:inline>
        </w:drawing>
      </w:r>
      <w:bookmarkEnd w:id="0"/>
    </w:p>
    <w:sectPr w:rsidR="005E1743" w:rsidRPr="00AD7C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1ADE"/>
    <w:rsid w:val="00200F11"/>
    <w:rsid w:val="005E1743"/>
    <w:rsid w:val="00666661"/>
    <w:rsid w:val="006A7C2B"/>
    <w:rsid w:val="00AB5B52"/>
    <w:rsid w:val="00AD7CBF"/>
    <w:rsid w:val="00AE252D"/>
    <w:rsid w:val="00DC04E2"/>
    <w:rsid w:val="00DD1ADE"/>
    <w:rsid w:val="00E14444"/>
    <w:rsid w:val="00EF546E"/>
    <w:rsid w:val="00FF5A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D1ADE"/>
    <w:rPr>
      <w:color w:val="0000FF" w:themeColor="hyperlink"/>
      <w:u w:val="single"/>
    </w:rPr>
  </w:style>
  <w:style w:type="paragraph" w:styleId="BalloonText">
    <w:name w:val="Balloon Text"/>
    <w:basedOn w:val="Normal"/>
    <w:link w:val="BalloonTextChar"/>
    <w:uiPriority w:val="99"/>
    <w:semiHidden/>
    <w:unhideWhenUsed/>
    <w:rsid w:val="00AE25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252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D1ADE"/>
    <w:rPr>
      <w:color w:val="0000FF" w:themeColor="hyperlink"/>
      <w:u w:val="single"/>
    </w:rPr>
  </w:style>
  <w:style w:type="paragraph" w:styleId="BalloonText">
    <w:name w:val="Balloon Text"/>
    <w:basedOn w:val="Normal"/>
    <w:link w:val="BalloonTextChar"/>
    <w:uiPriority w:val="99"/>
    <w:semiHidden/>
    <w:unhideWhenUsed/>
    <w:rsid w:val="00AE25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252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2671180">
      <w:bodyDiv w:val="1"/>
      <w:marLeft w:val="0"/>
      <w:marRight w:val="0"/>
      <w:marTop w:val="0"/>
      <w:marBottom w:val="0"/>
      <w:divBdr>
        <w:top w:val="none" w:sz="0" w:space="0" w:color="auto"/>
        <w:left w:val="none" w:sz="0" w:space="0" w:color="auto"/>
        <w:bottom w:val="none" w:sz="0" w:space="0" w:color="auto"/>
        <w:right w:val="none" w:sz="0" w:space="0" w:color="auto"/>
      </w:divBdr>
      <w:divsChild>
        <w:div w:id="1076244629">
          <w:marLeft w:val="0"/>
          <w:marRight w:val="0"/>
          <w:marTop w:val="288"/>
          <w:marBottom w:val="100"/>
          <w:divBdr>
            <w:top w:val="none" w:sz="0" w:space="0" w:color="auto"/>
            <w:left w:val="none" w:sz="0" w:space="0" w:color="auto"/>
            <w:bottom w:val="none" w:sz="0" w:space="0" w:color="auto"/>
            <w:right w:val="none" w:sz="0" w:space="0" w:color="auto"/>
          </w:divBdr>
          <w:divsChild>
            <w:div w:id="138052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447764">
      <w:bodyDiv w:val="1"/>
      <w:marLeft w:val="0"/>
      <w:marRight w:val="0"/>
      <w:marTop w:val="0"/>
      <w:marBottom w:val="0"/>
      <w:divBdr>
        <w:top w:val="none" w:sz="0" w:space="0" w:color="auto"/>
        <w:left w:val="none" w:sz="0" w:space="0" w:color="auto"/>
        <w:bottom w:val="none" w:sz="0" w:space="0" w:color="auto"/>
        <w:right w:val="none" w:sz="0" w:space="0" w:color="auto"/>
      </w:divBdr>
      <w:divsChild>
        <w:div w:id="1485509462">
          <w:marLeft w:val="0"/>
          <w:marRight w:val="0"/>
          <w:marTop w:val="288"/>
          <w:marBottom w:val="100"/>
          <w:divBdr>
            <w:top w:val="none" w:sz="0" w:space="0" w:color="auto"/>
            <w:left w:val="none" w:sz="0" w:space="0" w:color="auto"/>
            <w:bottom w:val="none" w:sz="0" w:space="0" w:color="auto"/>
            <w:right w:val="none" w:sz="0" w:space="0" w:color="auto"/>
          </w:divBdr>
          <w:divsChild>
            <w:div w:id="178850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537257">
      <w:bodyDiv w:val="1"/>
      <w:marLeft w:val="0"/>
      <w:marRight w:val="0"/>
      <w:marTop w:val="0"/>
      <w:marBottom w:val="0"/>
      <w:divBdr>
        <w:top w:val="none" w:sz="0" w:space="0" w:color="auto"/>
        <w:left w:val="none" w:sz="0" w:space="0" w:color="auto"/>
        <w:bottom w:val="none" w:sz="0" w:space="0" w:color="auto"/>
        <w:right w:val="none" w:sz="0" w:space="0" w:color="auto"/>
      </w:divBdr>
      <w:divsChild>
        <w:div w:id="1013144498">
          <w:marLeft w:val="0"/>
          <w:marRight w:val="0"/>
          <w:marTop w:val="288"/>
          <w:marBottom w:val="100"/>
          <w:divBdr>
            <w:top w:val="none" w:sz="0" w:space="0" w:color="auto"/>
            <w:left w:val="none" w:sz="0" w:space="0" w:color="auto"/>
            <w:bottom w:val="none" w:sz="0" w:space="0" w:color="auto"/>
            <w:right w:val="none" w:sz="0" w:space="0" w:color="auto"/>
          </w:divBdr>
          <w:divsChild>
            <w:div w:id="138104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50663">
      <w:bodyDiv w:val="1"/>
      <w:marLeft w:val="0"/>
      <w:marRight w:val="0"/>
      <w:marTop w:val="0"/>
      <w:marBottom w:val="0"/>
      <w:divBdr>
        <w:top w:val="none" w:sz="0" w:space="0" w:color="auto"/>
        <w:left w:val="none" w:sz="0" w:space="0" w:color="auto"/>
        <w:bottom w:val="none" w:sz="0" w:space="0" w:color="auto"/>
        <w:right w:val="none" w:sz="0" w:space="0" w:color="auto"/>
      </w:divBdr>
      <w:divsChild>
        <w:div w:id="1393624240">
          <w:marLeft w:val="0"/>
          <w:marRight w:val="0"/>
          <w:marTop w:val="288"/>
          <w:marBottom w:val="100"/>
          <w:divBdr>
            <w:top w:val="none" w:sz="0" w:space="0" w:color="auto"/>
            <w:left w:val="none" w:sz="0" w:space="0" w:color="auto"/>
            <w:bottom w:val="none" w:sz="0" w:space="0" w:color="auto"/>
            <w:right w:val="none" w:sz="0" w:space="0" w:color="auto"/>
          </w:divBdr>
          <w:divsChild>
            <w:div w:id="1078407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ettings" Target="settings.xml"/><Relationship Id="rId7" Type="http://schemas.openxmlformats.org/officeDocument/2006/relationships/hyperlink" Target="https://www.linkedin.com/in/jimmykayasthadd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twitter.com/jimmykayastha?lang=en" TargetMode="External"/><Relationship Id="rId5" Type="http://schemas.openxmlformats.org/officeDocument/2006/relationships/hyperlink" Target="mailto:kayastha@mynsu.nova.ed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627</Words>
  <Characters>3574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2019-06-11T05:47:00Z</dcterms:created>
  <dcterms:modified xsi:type="dcterms:W3CDTF">2019-06-11T05:47:00Z</dcterms:modified>
</cp:coreProperties>
</file>