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6AC" w:rsidRDefault="00E57758" w:rsidP="00E57758">
      <w:pPr>
        <w:pStyle w:val="NoSpacing"/>
        <w:jc w:val="center"/>
        <w:rPr>
          <w:rFonts w:ascii="Garamond" w:hAnsi="Garamond" w:cstheme="minorHAnsi"/>
          <w:b/>
          <w:sz w:val="32"/>
        </w:rPr>
      </w:pPr>
      <w:r>
        <w:rPr>
          <w:rFonts w:ascii="Garamond" w:hAnsi="Garamond" w:cstheme="minorHAnsi"/>
          <w:b/>
          <w:sz w:val="32"/>
        </w:rPr>
        <w:t>Eastern Nile Multi</w:t>
      </w:r>
      <w:r w:rsidR="00DF1D78">
        <w:rPr>
          <w:rFonts w:ascii="Garamond" w:hAnsi="Garamond" w:cstheme="minorHAnsi"/>
          <w:b/>
          <w:sz w:val="32"/>
        </w:rPr>
        <w:t>-</w:t>
      </w:r>
      <w:proofErr w:type="spellStart"/>
      <w:r w:rsidR="00DF1D78">
        <w:rPr>
          <w:rFonts w:ascii="Garamond" w:hAnsi="Garamond" w:cstheme="minorHAnsi"/>
          <w:b/>
          <w:sz w:val="32"/>
        </w:rPr>
        <w:t>Secoral</w:t>
      </w:r>
      <w:proofErr w:type="spellEnd"/>
      <w:r w:rsidR="00DF1D78">
        <w:rPr>
          <w:rFonts w:ascii="Garamond" w:hAnsi="Garamond" w:cstheme="minorHAnsi"/>
          <w:b/>
          <w:sz w:val="32"/>
        </w:rPr>
        <w:t xml:space="preserve"> Investment </w:t>
      </w:r>
      <w:r>
        <w:rPr>
          <w:rFonts w:ascii="Garamond" w:hAnsi="Garamond" w:cstheme="minorHAnsi"/>
          <w:b/>
          <w:sz w:val="32"/>
        </w:rPr>
        <w:t>Op</w:t>
      </w:r>
      <w:r w:rsidR="00DF1D78">
        <w:rPr>
          <w:rFonts w:ascii="Garamond" w:hAnsi="Garamond" w:cstheme="minorHAnsi"/>
          <w:b/>
          <w:sz w:val="32"/>
        </w:rPr>
        <w:t>portunity Analysis</w:t>
      </w:r>
    </w:p>
    <w:p w:rsidR="00E57758" w:rsidRPr="00911D82" w:rsidRDefault="005C675C" w:rsidP="00E57758">
      <w:pPr>
        <w:pStyle w:val="NoSpacing"/>
        <w:jc w:val="center"/>
        <w:rPr>
          <w:rFonts w:ascii="Garamond" w:hAnsi="Garamond" w:cstheme="minorHAnsi"/>
          <w:b/>
          <w:sz w:val="32"/>
        </w:rPr>
      </w:pPr>
      <w:r>
        <w:rPr>
          <w:rFonts w:ascii="Garamond" w:hAnsi="Garamond" w:cstheme="minorHAnsi"/>
          <w:b/>
          <w:sz w:val="32"/>
        </w:rPr>
        <w:t>(EN MSIOA)</w:t>
      </w:r>
      <w:r w:rsidR="00E57758">
        <w:rPr>
          <w:rFonts w:ascii="Garamond" w:hAnsi="Garamond" w:cstheme="minorHAnsi"/>
          <w:b/>
          <w:sz w:val="32"/>
        </w:rPr>
        <w:t xml:space="preserve"> </w:t>
      </w:r>
    </w:p>
    <w:p w:rsidR="00E57758" w:rsidRPr="00911D82" w:rsidRDefault="00E57758" w:rsidP="00E57758">
      <w:pPr>
        <w:tabs>
          <w:tab w:val="left" w:pos="3907"/>
        </w:tabs>
        <w:spacing w:before="120" w:after="120" w:line="360" w:lineRule="auto"/>
        <w:jc w:val="center"/>
        <w:rPr>
          <w:rFonts w:ascii="Garamond" w:hAnsi="Garamond" w:cstheme="minorHAnsi"/>
          <w:sz w:val="24"/>
        </w:rPr>
      </w:pPr>
      <w:r w:rsidRPr="00911D82">
        <w:rPr>
          <w:rFonts w:ascii="Garamond" w:hAnsi="Garamond" w:cstheme="minorHAnsi"/>
          <w:sz w:val="24"/>
        </w:rPr>
        <w:t>Eastern Nile Technical Regional Office (ENTRO)</w:t>
      </w:r>
    </w:p>
    <w:p w:rsidR="00E57758" w:rsidRPr="00911D82" w:rsidRDefault="00E57758" w:rsidP="00E57758">
      <w:pPr>
        <w:tabs>
          <w:tab w:val="left" w:pos="3907"/>
        </w:tabs>
        <w:spacing w:before="120" w:after="120" w:line="360" w:lineRule="auto"/>
        <w:jc w:val="center"/>
        <w:rPr>
          <w:rFonts w:ascii="Garamond" w:hAnsi="Garamond" w:cstheme="minorHAnsi"/>
          <w:sz w:val="24"/>
        </w:rPr>
      </w:pPr>
      <w:proofErr w:type="spellStart"/>
      <w:r w:rsidRPr="00911D82">
        <w:rPr>
          <w:rFonts w:ascii="Garamond" w:hAnsi="Garamond" w:cstheme="minorHAnsi"/>
          <w:sz w:val="24"/>
        </w:rPr>
        <w:t>Azeb</w:t>
      </w:r>
      <w:proofErr w:type="spellEnd"/>
      <w:r w:rsidRPr="00911D82">
        <w:rPr>
          <w:rFonts w:ascii="Garamond" w:hAnsi="Garamond" w:cstheme="minorHAnsi"/>
          <w:sz w:val="24"/>
        </w:rPr>
        <w:t xml:space="preserve"> </w:t>
      </w:r>
      <w:proofErr w:type="spellStart"/>
      <w:r w:rsidRPr="00911D82">
        <w:rPr>
          <w:rFonts w:ascii="Garamond" w:hAnsi="Garamond" w:cstheme="minorHAnsi"/>
          <w:sz w:val="24"/>
        </w:rPr>
        <w:t>Mersha</w:t>
      </w:r>
      <w:proofErr w:type="spellEnd"/>
      <w:r w:rsidRPr="00911D82">
        <w:rPr>
          <w:rFonts w:ascii="Garamond" w:hAnsi="Garamond" w:cstheme="minorHAnsi"/>
          <w:sz w:val="24"/>
        </w:rPr>
        <w:t xml:space="preserve"> </w:t>
      </w:r>
      <w:r w:rsidR="00DF1D78">
        <w:rPr>
          <w:rFonts w:ascii="Garamond" w:hAnsi="Garamond" w:cstheme="minorHAnsi"/>
          <w:sz w:val="24"/>
          <w:vertAlign w:val="superscript"/>
        </w:rPr>
        <w:t>a</w:t>
      </w:r>
      <w:r w:rsidRPr="00911D82">
        <w:rPr>
          <w:rFonts w:ascii="Garamond" w:hAnsi="Garamond" w:cstheme="minorHAnsi"/>
          <w:sz w:val="24"/>
        </w:rPr>
        <w:t xml:space="preserve">, </w:t>
      </w:r>
      <w:proofErr w:type="spellStart"/>
      <w:r w:rsidR="00DF1D78">
        <w:rPr>
          <w:rFonts w:ascii="Garamond" w:hAnsi="Garamond" w:cstheme="minorHAnsi"/>
          <w:sz w:val="24"/>
        </w:rPr>
        <w:t>Wubalem</w:t>
      </w:r>
      <w:proofErr w:type="spellEnd"/>
      <w:r w:rsidR="00635405">
        <w:rPr>
          <w:rFonts w:ascii="Garamond" w:hAnsi="Garamond" w:cstheme="minorHAnsi"/>
          <w:sz w:val="24"/>
        </w:rPr>
        <w:t xml:space="preserve"> </w:t>
      </w:r>
      <w:proofErr w:type="spellStart"/>
      <w:r w:rsidR="00635405">
        <w:rPr>
          <w:rFonts w:ascii="Garamond" w:hAnsi="Garamond" w:cstheme="minorHAnsi"/>
          <w:sz w:val="24"/>
        </w:rPr>
        <w:t>Fekade</w:t>
      </w:r>
      <w:proofErr w:type="spellEnd"/>
      <w:r w:rsidR="00DF1D78">
        <w:rPr>
          <w:rFonts w:ascii="Garamond" w:hAnsi="Garamond" w:cstheme="minorHAnsi"/>
          <w:sz w:val="24"/>
        </w:rPr>
        <w:t xml:space="preserve"> </w:t>
      </w:r>
      <w:r w:rsidR="00DF1D78">
        <w:rPr>
          <w:rFonts w:ascii="Garamond" w:hAnsi="Garamond" w:cstheme="minorHAnsi"/>
          <w:sz w:val="24"/>
          <w:vertAlign w:val="superscript"/>
        </w:rPr>
        <w:t>b</w:t>
      </w:r>
      <w:r w:rsidR="00DF1D78">
        <w:rPr>
          <w:rFonts w:ascii="Garamond" w:hAnsi="Garamond" w:cstheme="minorHAnsi"/>
          <w:sz w:val="24"/>
        </w:rPr>
        <w:t xml:space="preserve">, </w:t>
      </w:r>
      <w:proofErr w:type="spellStart"/>
      <w:r w:rsidR="00DF1D78">
        <w:rPr>
          <w:rFonts w:ascii="Garamond" w:hAnsi="Garamond" w:cstheme="minorHAnsi"/>
          <w:sz w:val="24"/>
        </w:rPr>
        <w:t>Yosif</w:t>
      </w:r>
      <w:proofErr w:type="spellEnd"/>
      <w:r w:rsidR="00DF1D78">
        <w:rPr>
          <w:rFonts w:ascii="Garamond" w:hAnsi="Garamond" w:cstheme="minorHAnsi"/>
          <w:sz w:val="24"/>
        </w:rPr>
        <w:t xml:space="preserve"> </w:t>
      </w:r>
      <w:proofErr w:type="spellStart"/>
      <w:r w:rsidR="00DF1D78">
        <w:rPr>
          <w:rFonts w:ascii="Garamond" w:hAnsi="Garamond" w:cstheme="minorHAnsi"/>
          <w:sz w:val="24"/>
        </w:rPr>
        <w:t>Ibrahim</w:t>
      </w:r>
      <w:r>
        <w:rPr>
          <w:rFonts w:ascii="Garamond" w:hAnsi="Garamond" w:cstheme="minorHAnsi"/>
          <w:sz w:val="24"/>
          <w:vertAlign w:val="superscript"/>
        </w:rPr>
        <w:t>c</w:t>
      </w:r>
      <w:proofErr w:type="spellEnd"/>
    </w:p>
    <w:p w:rsidR="002038C3" w:rsidRDefault="002038C3" w:rsidP="005431D9">
      <w:pPr>
        <w:autoSpaceDE w:val="0"/>
        <w:autoSpaceDN w:val="0"/>
        <w:adjustRightInd w:val="0"/>
        <w:jc w:val="center"/>
        <w:rPr>
          <w:rFonts w:ascii="Garamond" w:hAnsi="Garamond" w:cstheme="minorHAnsi"/>
          <w:sz w:val="28"/>
        </w:rPr>
      </w:pPr>
      <w:r w:rsidRPr="00911D82">
        <w:rPr>
          <w:rFonts w:ascii="Garamond" w:hAnsi="Garamond" w:cstheme="minorHAnsi"/>
          <w:b/>
          <w:sz w:val="32"/>
        </w:rPr>
        <w:t>Abstract</w:t>
      </w:r>
      <w:r w:rsidRPr="00911D82">
        <w:rPr>
          <w:rFonts w:ascii="Garamond" w:hAnsi="Garamond" w:cstheme="minorHAnsi"/>
          <w:sz w:val="28"/>
        </w:rPr>
        <w:t>:</w:t>
      </w:r>
    </w:p>
    <w:p w:rsidR="00973443" w:rsidRPr="00253F1C" w:rsidRDefault="00EF4207" w:rsidP="00253F1C">
      <w:pPr>
        <w:spacing w:before="120" w:after="120"/>
        <w:jc w:val="both"/>
        <w:rPr>
          <w:rFonts w:ascii="Century Gothic" w:hAnsi="Century Gothic"/>
        </w:rPr>
      </w:pPr>
      <w:r w:rsidRPr="00253F1C">
        <w:rPr>
          <w:rFonts w:ascii="Century Gothic" w:hAnsi="Century Gothic"/>
        </w:rPr>
        <w:t>The Eastern Nile Multi-</w:t>
      </w:r>
      <w:proofErr w:type="spellStart"/>
      <w:r w:rsidRPr="00253F1C">
        <w:rPr>
          <w:rFonts w:ascii="Century Gothic" w:hAnsi="Century Gothic"/>
        </w:rPr>
        <w:t>Sectoral</w:t>
      </w:r>
      <w:proofErr w:type="spellEnd"/>
      <w:r w:rsidRPr="00253F1C">
        <w:rPr>
          <w:rFonts w:ascii="Century Gothic" w:hAnsi="Century Gothic"/>
        </w:rPr>
        <w:t xml:space="preserve"> Investment Opportunities (EN-MSIOA) study is one of several specific studies being undertaken by ENSAP to achieve the general objective of the NCORE from the Eastern Nile perspective. of the seven IDEN Projects ENTRO completed, have made the earliest contribution in terms of alerting decision makers the need for integrating water resources planning across sectors and across the EN basin if we are to learn to do more with less and less per capita available water. Their findings have never been integrated across sectors to provide direction for wider basin level water resource optimization and efficiency. </w:t>
      </w:r>
      <w:r w:rsidR="00253F1C">
        <w:rPr>
          <w:rFonts w:ascii="Century Gothic" w:hAnsi="Century Gothic"/>
        </w:rPr>
        <w:t>The</w:t>
      </w:r>
      <w:r w:rsidR="00243F80" w:rsidRPr="00253F1C">
        <w:rPr>
          <w:rFonts w:ascii="Century Gothic" w:hAnsi="Century Gothic"/>
        </w:rPr>
        <w:t xml:space="preserve"> EN MSIOA draw</w:t>
      </w:r>
      <w:r w:rsidR="005433C4" w:rsidRPr="00253F1C">
        <w:rPr>
          <w:rFonts w:ascii="Century Gothic" w:hAnsi="Century Gothic"/>
        </w:rPr>
        <w:t>s</w:t>
      </w:r>
      <w:r w:rsidR="00243F80" w:rsidRPr="00253F1C">
        <w:rPr>
          <w:rFonts w:ascii="Century Gothic" w:hAnsi="Century Gothic"/>
        </w:rPr>
        <w:t xml:space="preserve"> from and/or updating earlier ENSAP studies as needed, the EN MSIOA aims to undertake water resources analysis that would promote (a) sustainable management of common Eastern Nile water resources; (b) cooperative investment planning that takes into account the water scarcity of the basin and the social and environmental and economic implications of such investments.</w:t>
      </w:r>
    </w:p>
    <w:p w:rsidR="00243F80" w:rsidRPr="00253F1C" w:rsidRDefault="00973443" w:rsidP="00253F1C">
      <w:pPr>
        <w:spacing w:before="120" w:after="120"/>
        <w:jc w:val="both"/>
        <w:rPr>
          <w:rFonts w:ascii="Century Gothic" w:hAnsi="Century Gothic"/>
        </w:rPr>
      </w:pPr>
      <w:r w:rsidRPr="00253F1C">
        <w:rPr>
          <w:rFonts w:ascii="Century Gothic" w:hAnsi="Century Gothic"/>
        </w:rPr>
        <w:t xml:space="preserve"> The EN MSIOA started by identifying key EN basin-wide water resources development and management challenges that indicates the current situation of the basin in respect </w:t>
      </w:r>
      <w:proofErr w:type="spellStart"/>
      <w:r w:rsidRPr="00253F1C">
        <w:rPr>
          <w:rFonts w:ascii="Century Gothic" w:hAnsi="Century Gothic"/>
        </w:rPr>
        <w:t>ot</w:t>
      </w:r>
      <w:proofErr w:type="spellEnd"/>
      <w:r w:rsidRPr="00253F1C">
        <w:rPr>
          <w:rFonts w:ascii="Century Gothic" w:hAnsi="Century Gothic"/>
        </w:rPr>
        <w:t xml:space="preserve"> its water resource, key environmental issues and social issues. The core analysis involved the definition and analysis of different combinations of water resources management (termed Development States)twelve of them, and the analysis of the economic, social and environmental implications of each of these Development States defined, using a three-step process: water demand satisfaction, availability of water at various location and economic assessment. The study used the </w:t>
      </w:r>
      <w:proofErr w:type="spellStart"/>
      <w:r w:rsidRPr="00253F1C">
        <w:rPr>
          <w:rFonts w:ascii="Century Gothic" w:hAnsi="Century Gothic"/>
        </w:rPr>
        <w:t>Muliti</w:t>
      </w:r>
      <w:proofErr w:type="spellEnd"/>
      <w:r w:rsidRPr="00253F1C">
        <w:rPr>
          <w:rFonts w:ascii="Century Gothic" w:hAnsi="Century Gothic"/>
        </w:rPr>
        <w:t xml:space="preserve">-Criteria Analysis to compare the impacts of each Development State, especially in terms of how they meet the water resource and sustainable development expectations of the ENB countries.  The MCA has captured the interest of the countries by selection of evaluation criteria and weighting them according to their national and regional priorities. </w:t>
      </w:r>
    </w:p>
    <w:p w:rsidR="00973443" w:rsidRPr="00253F1C" w:rsidRDefault="00973443" w:rsidP="00253F1C">
      <w:pPr>
        <w:spacing w:before="120" w:after="120"/>
        <w:jc w:val="both"/>
        <w:rPr>
          <w:rFonts w:ascii="Century Gothic" w:hAnsi="Century Gothic"/>
        </w:rPr>
      </w:pPr>
      <w:r w:rsidRPr="00253F1C">
        <w:rPr>
          <w:rFonts w:ascii="Century Gothic" w:hAnsi="Century Gothic"/>
        </w:rPr>
        <w:t xml:space="preserve">As the study proceeded to the final phase, it became clear that all development states needed to respect one overriding criteria, i.e. the limits imposed by the water resources of the ENB, the violation of which would risk the Nile itself. The water resource implication of each Development State was thus analyzed with respect to water availability in the ENB.  The fact that there is only a finite amount of water in the ENB (which is going to be increasingly variable and unreliable) places environmental limits to water resources development in the ENB. There are also social limits to water </w:t>
      </w:r>
      <w:r w:rsidRPr="00253F1C">
        <w:rPr>
          <w:rFonts w:ascii="Century Gothic" w:hAnsi="Century Gothic"/>
        </w:rPr>
        <w:lastRenderedPageBreak/>
        <w:t xml:space="preserve">resources development, i.e., a limit as to how many people can be displaced or otherwise affected by water resources investments and the priority to be accorded to social needs in water resources investments.  The desired Development State of the ENB has thus to fit within hydrological, social and environmental prerequisites limits that will enable it to sustain for future generations. </w:t>
      </w:r>
    </w:p>
    <w:p w:rsidR="00973443" w:rsidRPr="00253F1C" w:rsidRDefault="00973443" w:rsidP="00253F1C">
      <w:pPr>
        <w:spacing w:before="120" w:after="120"/>
        <w:jc w:val="both"/>
        <w:rPr>
          <w:rFonts w:ascii="Century Gothic" w:hAnsi="Century Gothic"/>
        </w:rPr>
      </w:pPr>
    </w:p>
    <w:p w:rsidR="00253F1C" w:rsidRPr="00253F1C" w:rsidRDefault="00973443" w:rsidP="00253F1C">
      <w:pPr>
        <w:spacing w:before="120" w:after="120"/>
        <w:jc w:val="both"/>
        <w:rPr>
          <w:rFonts w:ascii="Century Gothic" w:hAnsi="Century Gothic"/>
        </w:rPr>
      </w:pPr>
      <w:r w:rsidRPr="00253F1C">
        <w:rPr>
          <w:rFonts w:ascii="Century Gothic" w:hAnsi="Century Gothic"/>
        </w:rPr>
        <w:t xml:space="preserve">The MSIOA yielded fundamental insights into the challenges, complexities and possibilities of water resources investment planning while adopting a regional or ENB-wide and hydrology-based perspective. </w:t>
      </w:r>
      <w:r w:rsidR="00911BE8" w:rsidRPr="00253F1C">
        <w:rPr>
          <w:rFonts w:ascii="Century Gothic" w:hAnsi="Century Gothic"/>
        </w:rPr>
        <w:t>The analysis pointed out that b</w:t>
      </w:r>
      <w:r w:rsidRPr="00253F1C">
        <w:rPr>
          <w:rFonts w:ascii="Century Gothic" w:hAnsi="Century Gothic"/>
        </w:rPr>
        <w:t xml:space="preserve">usiness as usual, i.e., water resources planning and investment strategies that do not consider the basin as a whole will not lead to sustainable outcomes. For one, regionally uncoordinated planning and investment lacks consideration of inevitable upstream and downstream impacts which affect other countries within the same Basin.  It also pointed out a regional, whole-basin perspective, orientation and modus operandi in investment planning is a must, if adverse impacts are to be avoided, minimized or managed successfully. In the long run, the only option is a regionally optimized investment portfolio for the basin as a whole. </w:t>
      </w:r>
      <w:r w:rsidR="00911BE8" w:rsidRPr="00253F1C">
        <w:rPr>
          <w:rFonts w:ascii="Century Gothic" w:hAnsi="Century Gothic"/>
        </w:rPr>
        <w:t>The MSIOA study shows that t</w:t>
      </w:r>
      <w:r w:rsidRPr="00253F1C">
        <w:rPr>
          <w:rFonts w:ascii="Century Gothic" w:hAnsi="Century Gothic"/>
        </w:rPr>
        <w:t>here is scope for new irrigation, but in the longer-term, there is not enough water to fulfill the development plans of all countries.  Unchecked or unilateral expansion of planned irrigation will lead to major water shortages and/or the abandonment of some irrigation schemes.</w:t>
      </w:r>
      <w:r w:rsidR="00911BE8" w:rsidRPr="00253F1C">
        <w:rPr>
          <w:rFonts w:ascii="Century Gothic" w:hAnsi="Century Gothic"/>
        </w:rPr>
        <w:t xml:space="preserve"> While r</w:t>
      </w:r>
      <w:r w:rsidRPr="00253F1C">
        <w:rPr>
          <w:rFonts w:ascii="Century Gothic" w:hAnsi="Century Gothic"/>
        </w:rPr>
        <w:t>egionally planned hydropower development has minimal impact on regional water resources, once the dams are filled. Although the study did not analyze the filling of dams and this needs further investigation, the study established that, being non-consumptive water use, new hydropower can be managed in a trans-boundary context  while working to reduce evaporative losses from reservoirs, and coordinating filling and operation.</w:t>
      </w:r>
      <w:r w:rsidR="008252BD" w:rsidRPr="00253F1C">
        <w:rPr>
          <w:rFonts w:ascii="Century Gothic" w:hAnsi="Century Gothic"/>
        </w:rPr>
        <w:t xml:space="preserve"> As </w:t>
      </w:r>
      <w:r w:rsidRPr="00253F1C">
        <w:rPr>
          <w:rFonts w:ascii="Century Gothic" w:hAnsi="Century Gothic"/>
        </w:rPr>
        <w:t xml:space="preserve"> </w:t>
      </w:r>
      <w:r w:rsidR="008252BD" w:rsidRPr="00253F1C">
        <w:rPr>
          <w:rFonts w:ascii="Century Gothic" w:hAnsi="Century Gothic"/>
        </w:rPr>
        <w:t>combine use w</w:t>
      </w:r>
      <w:r w:rsidRPr="00253F1C">
        <w:rPr>
          <w:rFonts w:ascii="Century Gothic" w:hAnsi="Century Gothic"/>
        </w:rPr>
        <w:t>here reservoirs are used for hydro-power and irrigation, water availability may be impacted. But if well-planned, there are win-win-win development opportunities.</w:t>
      </w:r>
      <w:r w:rsidR="008252BD" w:rsidRPr="00253F1C">
        <w:rPr>
          <w:rFonts w:ascii="Century Gothic" w:hAnsi="Century Gothic"/>
        </w:rPr>
        <w:t xml:space="preserve"> The other </w:t>
      </w:r>
      <w:r w:rsidRPr="00253F1C">
        <w:rPr>
          <w:rFonts w:ascii="Century Gothic" w:hAnsi="Century Gothic"/>
        </w:rPr>
        <w:t xml:space="preserve"> </w:t>
      </w:r>
      <w:r w:rsidR="00911BE8" w:rsidRPr="00253F1C">
        <w:rPr>
          <w:rFonts w:ascii="Century Gothic" w:hAnsi="Century Gothic"/>
        </w:rPr>
        <w:t>insight is on c</w:t>
      </w:r>
      <w:r w:rsidRPr="00253F1C">
        <w:rPr>
          <w:rFonts w:ascii="Century Gothic" w:hAnsi="Century Gothic"/>
        </w:rPr>
        <w:t>hoice of crops, agricultural water use efficiency improvements and a regional approach to food security and agricultural markets should be explored further and developed</w:t>
      </w:r>
      <w:r w:rsidR="00911BE8" w:rsidRPr="00253F1C">
        <w:rPr>
          <w:rFonts w:ascii="Century Gothic" w:hAnsi="Century Gothic"/>
        </w:rPr>
        <w:t xml:space="preserve"> . Moreover o</w:t>
      </w:r>
      <w:r w:rsidRPr="00253F1C">
        <w:rPr>
          <w:rFonts w:ascii="Century Gothic" w:hAnsi="Century Gothic"/>
        </w:rPr>
        <w:t>ther areas to further explored to reach favorable win-win development outcomes for all include watershed management, groundwater management, salinity control, flood forecasting, wetland preservation – and climate change a</w:t>
      </w:r>
      <w:r w:rsidR="00253F1C" w:rsidRPr="00253F1C">
        <w:rPr>
          <w:rFonts w:ascii="Century Gothic" w:hAnsi="Century Gothic"/>
        </w:rPr>
        <w:t>cross all sectors and the basin. The study also have some limitations which direction for future improvement.</w:t>
      </w:r>
    </w:p>
    <w:p w:rsidR="00253F1C" w:rsidRDefault="00253F1C" w:rsidP="00253F1C">
      <w:pPr>
        <w:spacing w:before="120" w:after="120"/>
        <w:jc w:val="both"/>
        <w:rPr>
          <w:rFonts w:ascii="Garamond" w:hAnsi="Garamond" w:cstheme="minorHAnsi"/>
        </w:rPr>
      </w:pPr>
    </w:p>
    <w:p w:rsidR="002038C3" w:rsidRPr="00C17F2F" w:rsidRDefault="002038C3" w:rsidP="00253F1C">
      <w:pPr>
        <w:spacing w:before="120" w:after="120"/>
        <w:jc w:val="both"/>
        <w:rPr>
          <w:rFonts w:ascii="Century Gothic" w:hAnsi="Century Gothic"/>
        </w:rPr>
      </w:pPr>
      <w:r w:rsidRPr="00C17F2F">
        <w:rPr>
          <w:rFonts w:ascii="Century Gothic" w:hAnsi="Century Gothic"/>
          <w:b/>
        </w:rPr>
        <w:t>Keywords:</w:t>
      </w:r>
      <w:r w:rsidR="00C17F2F">
        <w:rPr>
          <w:rFonts w:ascii="Century Gothic" w:hAnsi="Century Gothic"/>
        </w:rPr>
        <w:t xml:space="preserve"> </w:t>
      </w:r>
      <w:r w:rsidRPr="00C17F2F">
        <w:rPr>
          <w:rFonts w:ascii="Century Gothic" w:hAnsi="Century Gothic"/>
        </w:rPr>
        <w:t>Eastern Nile Basin, ENTRO,</w:t>
      </w:r>
      <w:r w:rsidR="00C17F2F">
        <w:rPr>
          <w:rFonts w:ascii="Century Gothic" w:hAnsi="Century Gothic"/>
        </w:rPr>
        <w:t xml:space="preserve"> ENSAP, NCORE, MSIOA, </w:t>
      </w:r>
      <w:r w:rsidR="00635405">
        <w:rPr>
          <w:rFonts w:ascii="Century Gothic" w:hAnsi="Century Gothic"/>
        </w:rPr>
        <w:t>investment, development, tradeoff</w:t>
      </w:r>
    </w:p>
    <w:p w:rsidR="002038C3" w:rsidRDefault="002038C3" w:rsidP="002038C3">
      <w:pPr>
        <w:spacing w:before="120" w:after="120" w:line="360" w:lineRule="auto"/>
        <w:jc w:val="both"/>
        <w:rPr>
          <w:rFonts w:ascii="Garamond" w:hAnsi="Garamond" w:cstheme="minorHAnsi"/>
          <w:sz w:val="20"/>
        </w:rPr>
      </w:pPr>
    </w:p>
    <w:p w:rsidR="006B473B" w:rsidRDefault="00C17F2F" w:rsidP="00635405">
      <w:pPr>
        <w:tabs>
          <w:tab w:val="left" w:pos="7350"/>
        </w:tabs>
        <w:spacing w:before="120" w:after="120" w:line="360" w:lineRule="auto"/>
        <w:jc w:val="both"/>
      </w:pPr>
      <w:r>
        <w:rPr>
          <w:rFonts w:ascii="Garamond" w:hAnsi="Garamond" w:cstheme="minorHAnsi"/>
          <w:sz w:val="20"/>
        </w:rPr>
        <w:tab/>
      </w:r>
    </w:p>
    <w:sectPr w:rsidR="006B473B" w:rsidSect="00973443">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71A6D"/>
    <w:multiLevelType w:val="hybridMultilevel"/>
    <w:tmpl w:val="CEA415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692459C"/>
    <w:multiLevelType w:val="hybridMultilevel"/>
    <w:tmpl w:val="336634D8"/>
    <w:lvl w:ilvl="0" w:tplc="60E8270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45D748F"/>
    <w:multiLevelType w:val="hybridMultilevel"/>
    <w:tmpl w:val="C57A623A"/>
    <w:lvl w:ilvl="0" w:tplc="40090001">
      <w:start w:val="1"/>
      <w:numFmt w:val="bullet"/>
      <w:pStyle w:val="eb"/>
      <w:lvlText w:val="-"/>
      <w:lvlJc w:val="left"/>
      <w:pPr>
        <w:tabs>
          <w:tab w:val="num" w:pos="564"/>
        </w:tabs>
        <w:ind w:left="564" w:hanging="283"/>
      </w:pPr>
      <w:rPr>
        <w:rFonts w:ascii="Verdana" w:hAnsi="Verdana" w:hint="default"/>
        <w:color w:val="00618D"/>
        <w:sz w:val="20"/>
        <w:szCs w:val="20"/>
      </w:rPr>
    </w:lvl>
    <w:lvl w:ilvl="1" w:tplc="40090003">
      <w:start w:val="1"/>
      <w:numFmt w:val="bullet"/>
      <w:lvlText w:val="o"/>
      <w:lvlJc w:val="left"/>
      <w:pPr>
        <w:tabs>
          <w:tab w:val="num" w:pos="1437"/>
        </w:tabs>
        <w:ind w:left="1437" w:hanging="360"/>
      </w:pPr>
      <w:rPr>
        <w:rFonts w:ascii="Courier New" w:hAnsi="Courier New" w:cs="Courier New" w:hint="default"/>
      </w:rPr>
    </w:lvl>
    <w:lvl w:ilvl="2" w:tplc="40090005" w:tentative="1">
      <w:start w:val="1"/>
      <w:numFmt w:val="bullet"/>
      <w:lvlText w:val=""/>
      <w:lvlJc w:val="left"/>
      <w:pPr>
        <w:tabs>
          <w:tab w:val="num" w:pos="2157"/>
        </w:tabs>
        <w:ind w:left="2157" w:hanging="360"/>
      </w:pPr>
      <w:rPr>
        <w:rFonts w:ascii="Wingdings" w:hAnsi="Wingdings" w:hint="default"/>
      </w:rPr>
    </w:lvl>
    <w:lvl w:ilvl="3" w:tplc="40090001" w:tentative="1">
      <w:start w:val="1"/>
      <w:numFmt w:val="bullet"/>
      <w:lvlText w:val=""/>
      <w:lvlJc w:val="left"/>
      <w:pPr>
        <w:tabs>
          <w:tab w:val="num" w:pos="2877"/>
        </w:tabs>
        <w:ind w:left="2877" w:hanging="360"/>
      </w:pPr>
      <w:rPr>
        <w:rFonts w:ascii="Symbol" w:hAnsi="Symbol" w:hint="default"/>
      </w:rPr>
    </w:lvl>
    <w:lvl w:ilvl="4" w:tplc="40090003" w:tentative="1">
      <w:start w:val="1"/>
      <w:numFmt w:val="bullet"/>
      <w:lvlText w:val="o"/>
      <w:lvlJc w:val="left"/>
      <w:pPr>
        <w:tabs>
          <w:tab w:val="num" w:pos="3597"/>
        </w:tabs>
        <w:ind w:left="3597" w:hanging="360"/>
      </w:pPr>
      <w:rPr>
        <w:rFonts w:ascii="Courier New" w:hAnsi="Courier New" w:cs="Courier New" w:hint="default"/>
      </w:rPr>
    </w:lvl>
    <w:lvl w:ilvl="5" w:tplc="40090005" w:tentative="1">
      <w:start w:val="1"/>
      <w:numFmt w:val="bullet"/>
      <w:lvlText w:val=""/>
      <w:lvlJc w:val="left"/>
      <w:pPr>
        <w:tabs>
          <w:tab w:val="num" w:pos="4317"/>
        </w:tabs>
        <w:ind w:left="4317" w:hanging="360"/>
      </w:pPr>
      <w:rPr>
        <w:rFonts w:ascii="Wingdings" w:hAnsi="Wingdings" w:hint="default"/>
      </w:rPr>
    </w:lvl>
    <w:lvl w:ilvl="6" w:tplc="40090001" w:tentative="1">
      <w:start w:val="1"/>
      <w:numFmt w:val="bullet"/>
      <w:lvlText w:val=""/>
      <w:lvlJc w:val="left"/>
      <w:pPr>
        <w:tabs>
          <w:tab w:val="num" w:pos="5037"/>
        </w:tabs>
        <w:ind w:left="5037" w:hanging="360"/>
      </w:pPr>
      <w:rPr>
        <w:rFonts w:ascii="Symbol" w:hAnsi="Symbol" w:hint="default"/>
      </w:rPr>
    </w:lvl>
    <w:lvl w:ilvl="7" w:tplc="40090003" w:tentative="1">
      <w:start w:val="1"/>
      <w:numFmt w:val="bullet"/>
      <w:lvlText w:val="o"/>
      <w:lvlJc w:val="left"/>
      <w:pPr>
        <w:tabs>
          <w:tab w:val="num" w:pos="5757"/>
        </w:tabs>
        <w:ind w:left="5757" w:hanging="360"/>
      </w:pPr>
      <w:rPr>
        <w:rFonts w:ascii="Courier New" w:hAnsi="Courier New" w:cs="Courier New" w:hint="default"/>
      </w:rPr>
    </w:lvl>
    <w:lvl w:ilvl="8" w:tplc="40090005" w:tentative="1">
      <w:start w:val="1"/>
      <w:numFmt w:val="bullet"/>
      <w:lvlText w:val=""/>
      <w:lvlJc w:val="left"/>
      <w:pPr>
        <w:tabs>
          <w:tab w:val="num" w:pos="6477"/>
        </w:tabs>
        <w:ind w:left="647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038C3"/>
    <w:rsid w:val="000F0269"/>
    <w:rsid w:val="002038C3"/>
    <w:rsid w:val="00243F80"/>
    <w:rsid w:val="00253F1C"/>
    <w:rsid w:val="003770CC"/>
    <w:rsid w:val="003C55FE"/>
    <w:rsid w:val="003F5695"/>
    <w:rsid w:val="004A23A9"/>
    <w:rsid w:val="0052229E"/>
    <w:rsid w:val="005431D9"/>
    <w:rsid w:val="005433C4"/>
    <w:rsid w:val="005816AC"/>
    <w:rsid w:val="005B70A3"/>
    <w:rsid w:val="005C675C"/>
    <w:rsid w:val="00635405"/>
    <w:rsid w:val="006B473B"/>
    <w:rsid w:val="006D7EA8"/>
    <w:rsid w:val="008252BD"/>
    <w:rsid w:val="00905DA9"/>
    <w:rsid w:val="00911BE8"/>
    <w:rsid w:val="00973443"/>
    <w:rsid w:val="009A7877"/>
    <w:rsid w:val="00AC444E"/>
    <w:rsid w:val="00C17F2F"/>
    <w:rsid w:val="00D84B2B"/>
    <w:rsid w:val="00DF1D78"/>
    <w:rsid w:val="00E57758"/>
    <w:rsid w:val="00EF4207"/>
    <w:rsid w:val="00FA45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8C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2038C3"/>
    <w:pPr>
      <w:spacing w:after="0" w:line="240" w:lineRule="auto"/>
    </w:pPr>
    <w:rPr>
      <w:rFonts w:eastAsiaTheme="minorEastAsia"/>
    </w:rPr>
  </w:style>
  <w:style w:type="character" w:customStyle="1" w:styleId="NoSpacingChar">
    <w:name w:val="No Spacing Char"/>
    <w:basedOn w:val="DefaultParagraphFont"/>
    <w:link w:val="NoSpacing"/>
    <w:rsid w:val="002038C3"/>
    <w:rPr>
      <w:rFonts w:eastAsiaTheme="minorEastAsia"/>
    </w:rPr>
  </w:style>
  <w:style w:type="paragraph" w:customStyle="1" w:styleId="Afgtext">
    <w:name w:val="Afg text"/>
    <w:basedOn w:val="Normal"/>
    <w:rsid w:val="002038C3"/>
    <w:pPr>
      <w:spacing w:after="120" w:line="240" w:lineRule="auto"/>
      <w:jc w:val="both"/>
    </w:pPr>
    <w:rPr>
      <w:rFonts w:ascii="Times New Roman" w:eastAsia="Times New Roman" w:hAnsi="Times New Roman" w:cs="Times New Roman"/>
      <w:sz w:val="24"/>
      <w:szCs w:val="24"/>
    </w:rPr>
  </w:style>
  <w:style w:type="paragraph" w:customStyle="1" w:styleId="ps">
    <w:name w:val="ps"/>
    <w:basedOn w:val="Normal"/>
    <w:link w:val="psCar"/>
    <w:qFormat/>
    <w:rsid w:val="006D7EA8"/>
    <w:pPr>
      <w:spacing w:before="240" w:after="0" w:line="240" w:lineRule="auto"/>
      <w:jc w:val="both"/>
    </w:pPr>
    <w:rPr>
      <w:rFonts w:ascii="Century Gothic" w:eastAsia="Arial Narrow" w:hAnsi="Century Gothic" w:cs="Arial"/>
      <w:sz w:val="20"/>
      <w:szCs w:val="20"/>
      <w:lang w:val="en-GB" w:eastAsia="fr-FR"/>
    </w:rPr>
  </w:style>
  <w:style w:type="character" w:customStyle="1" w:styleId="psCar">
    <w:name w:val="ps Car"/>
    <w:link w:val="ps"/>
    <w:rsid w:val="006D7EA8"/>
    <w:rPr>
      <w:rFonts w:ascii="Century Gothic" w:eastAsia="Arial Narrow" w:hAnsi="Century Gothic" w:cs="Arial"/>
      <w:sz w:val="20"/>
      <w:szCs w:val="20"/>
      <w:lang w:val="en-GB" w:eastAsia="fr-FR"/>
    </w:rPr>
  </w:style>
  <w:style w:type="paragraph" w:customStyle="1" w:styleId="eb">
    <w:name w:val="eb"/>
    <w:basedOn w:val="Normal"/>
    <w:link w:val="ebChar"/>
    <w:rsid w:val="00973443"/>
    <w:pPr>
      <w:keepLines/>
      <w:numPr>
        <w:numId w:val="1"/>
      </w:numPr>
      <w:tabs>
        <w:tab w:val="clear" w:pos="564"/>
        <w:tab w:val="num" w:pos="851"/>
      </w:tabs>
      <w:spacing w:before="60" w:after="0" w:line="240" w:lineRule="auto"/>
      <w:ind w:left="851" w:hanging="284"/>
      <w:jc w:val="both"/>
    </w:pPr>
    <w:rPr>
      <w:rFonts w:ascii="Century Gothic" w:eastAsia="Times New Roman" w:hAnsi="Century Gothic" w:cs="Arial"/>
      <w:sz w:val="20"/>
      <w:szCs w:val="20"/>
      <w:lang w:val="fr-FR" w:eastAsia="fr-FR"/>
    </w:rPr>
  </w:style>
  <w:style w:type="character" w:customStyle="1" w:styleId="ebChar">
    <w:name w:val="eb Char"/>
    <w:link w:val="eb"/>
    <w:locked/>
    <w:rsid w:val="00973443"/>
    <w:rPr>
      <w:rFonts w:ascii="Century Gothic" w:eastAsia="Times New Roman" w:hAnsi="Century Gothic" w:cs="Arial"/>
      <w:sz w:val="20"/>
      <w:szCs w:val="20"/>
      <w:lang w:val="fr-FR" w:eastAsia="fr-FR"/>
    </w:rPr>
  </w:style>
  <w:style w:type="paragraph" w:styleId="ListParagraph">
    <w:name w:val="List Paragraph"/>
    <w:aliases w:val="Tables"/>
    <w:basedOn w:val="Normal"/>
    <w:link w:val="ListParagraphChar"/>
    <w:uiPriority w:val="34"/>
    <w:qFormat/>
    <w:rsid w:val="00973443"/>
    <w:pPr>
      <w:spacing w:after="0" w:line="240" w:lineRule="auto"/>
      <w:ind w:left="720"/>
      <w:contextualSpacing/>
    </w:pPr>
    <w:rPr>
      <w:rFonts w:ascii="Times New Roman" w:eastAsia="Times New Roman" w:hAnsi="Times New Roman" w:cs="Times New Roman"/>
      <w:sz w:val="24"/>
      <w:szCs w:val="24"/>
      <w:lang w:eastAsia="fr-FR"/>
    </w:rPr>
  </w:style>
  <w:style w:type="character" w:customStyle="1" w:styleId="ListParagraphChar">
    <w:name w:val="List Paragraph Char"/>
    <w:aliases w:val="Tables Char"/>
    <w:basedOn w:val="DefaultParagraphFont"/>
    <w:link w:val="ListParagraph"/>
    <w:uiPriority w:val="34"/>
    <w:rsid w:val="00973443"/>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2BA24-54CC-45B9-8F4A-CA5D5844D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24</cp:revision>
  <dcterms:created xsi:type="dcterms:W3CDTF">2017-03-28T06:52:00Z</dcterms:created>
  <dcterms:modified xsi:type="dcterms:W3CDTF">2017-03-28T11:10:00Z</dcterms:modified>
</cp:coreProperties>
</file>