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CB2" w:rsidRPr="00772CB2" w:rsidRDefault="00772CB2" w:rsidP="00772CB2">
      <w:pPr>
        <w:pStyle w:val="icsmbodytext"/>
        <w:ind w:right="-154" w:firstLine="0"/>
        <w:jc w:val="center"/>
        <w:rPr>
          <w:rFonts w:ascii="Minion Pro" w:eastAsia="Minion Pro" w:hAnsi="Minion Pro" w:cs="Minion Pro"/>
          <w:b/>
          <w:bCs/>
          <w:color w:val="337AB7"/>
          <w:sz w:val="36"/>
          <w:szCs w:val="36"/>
          <w:lang w:val="en-US" w:eastAsia="en-US"/>
        </w:rPr>
      </w:pPr>
      <w:r w:rsidRPr="00772CB2">
        <w:rPr>
          <w:rFonts w:ascii="Minion Pro" w:eastAsia="Minion Pro" w:hAnsi="Minion Pro" w:cs="Minion Pro"/>
          <w:b/>
          <w:bCs/>
          <w:color w:val="337AB7"/>
          <w:sz w:val="36"/>
          <w:szCs w:val="36"/>
          <w:lang w:val="en-US" w:eastAsia="en-US"/>
        </w:rPr>
        <w:t xml:space="preserve">Water: The Issues and Policy Decisions to Avert Impending Crises </w:t>
      </w:r>
    </w:p>
    <w:p w:rsidR="00772CB2" w:rsidRDefault="00772CB2" w:rsidP="005C1B54">
      <w:pPr>
        <w:rPr>
          <w:rFonts w:ascii="Arial"/>
          <w:sz w:val="18"/>
          <w:szCs w:val="18"/>
        </w:rPr>
      </w:pPr>
    </w:p>
    <w:p w:rsidR="005C1B54" w:rsidRPr="005C1B54" w:rsidRDefault="005C1B54" w:rsidP="005C1B54">
      <w:pPr>
        <w:rPr>
          <w:rFonts w:ascii="Arial"/>
          <w:sz w:val="18"/>
          <w:szCs w:val="18"/>
        </w:rPr>
      </w:pPr>
      <w:r>
        <w:rPr>
          <w:rFonts w:ascii="Arial"/>
          <w:sz w:val="18"/>
          <w:szCs w:val="18"/>
        </w:rPr>
        <w:t xml:space="preserve">   </w:t>
      </w:r>
      <w:proofErr w:type="spellStart"/>
      <w:r w:rsidRPr="005C1B54">
        <w:rPr>
          <w:rFonts w:ascii="Arial"/>
          <w:sz w:val="18"/>
          <w:szCs w:val="18"/>
        </w:rPr>
        <w:t>Kanhu</w:t>
      </w:r>
      <w:proofErr w:type="spellEnd"/>
      <w:r w:rsidRPr="005C1B54">
        <w:rPr>
          <w:rFonts w:ascii="Arial"/>
          <w:sz w:val="18"/>
          <w:szCs w:val="18"/>
        </w:rPr>
        <w:t xml:space="preserve"> </w:t>
      </w:r>
      <w:proofErr w:type="spellStart"/>
      <w:r w:rsidRPr="005C1B54">
        <w:rPr>
          <w:rFonts w:ascii="Arial"/>
          <w:sz w:val="18"/>
          <w:szCs w:val="18"/>
        </w:rPr>
        <w:t>Charan</w:t>
      </w:r>
      <w:proofErr w:type="spellEnd"/>
      <w:r w:rsidRPr="005C1B54">
        <w:rPr>
          <w:rFonts w:ascii="Arial"/>
          <w:sz w:val="18"/>
          <w:szCs w:val="18"/>
        </w:rPr>
        <w:t xml:space="preserve"> Patra</w:t>
      </w:r>
      <w:r>
        <w:rPr>
          <w:rFonts w:ascii="Arial"/>
          <w:sz w:val="18"/>
          <w:szCs w:val="18"/>
        </w:rPr>
        <w:t>, PhD Professor, NIT Rourkela, India</w:t>
      </w:r>
    </w:p>
    <w:p w:rsidR="00AE3E37" w:rsidRDefault="005C1B54" w:rsidP="00772CB2">
      <w:pPr>
        <w:pStyle w:val="BodyText"/>
        <w:spacing w:before="73" w:line="198" w:lineRule="exact"/>
        <w:ind w:left="100" w:right="5987"/>
        <w:rPr>
          <w:rFonts w:ascii="Arial"/>
          <w:sz w:val="21"/>
        </w:rPr>
      </w:pPr>
      <w:r>
        <w:rPr>
          <w:rFonts w:ascii="Arial"/>
        </w:rPr>
        <w:t xml:space="preserve"> </w:t>
      </w:r>
      <w:bookmarkStart w:id="0" w:name="_GoBack"/>
      <w:bookmarkEnd w:id="0"/>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5C1B54" w:rsidRPr="00772CB2" w:rsidRDefault="00A9710C" w:rsidP="005C1B54">
      <w:pPr>
        <w:jc w:val="both"/>
        <w:rPr>
          <w:rFonts w:ascii="Times New Roman" w:hAnsi="Times New Roman"/>
          <w:sz w:val="18"/>
        </w:rPr>
      </w:pPr>
      <w:r w:rsidRPr="00772CB2">
        <w:rPr>
          <w:sz w:val="18"/>
        </w:rPr>
        <w:t xml:space="preserve">Statement of the Problem: </w:t>
      </w:r>
      <w:r w:rsidR="00772CB2" w:rsidRPr="00772CB2">
        <w:rPr>
          <w:bCs/>
          <w:iCs/>
          <w:sz w:val="18"/>
        </w:rPr>
        <w:t xml:space="preserve">During the last three centuries the human population has increased from less than a billion to almost 6.5 </w:t>
      </w:r>
      <w:proofErr w:type="spellStart"/>
      <w:r w:rsidR="00772CB2" w:rsidRPr="00772CB2">
        <w:rPr>
          <w:bCs/>
          <w:iCs/>
          <w:sz w:val="18"/>
        </w:rPr>
        <w:t>billions</w:t>
      </w:r>
      <w:proofErr w:type="spellEnd"/>
      <w:r w:rsidR="00772CB2" w:rsidRPr="00772CB2">
        <w:rPr>
          <w:bCs/>
          <w:iCs/>
          <w:sz w:val="18"/>
        </w:rPr>
        <w:t xml:space="preserve">; the withdrawal of fresh water during the period has gone up by almost 40 times. While in 1940, only 10 countries faced the shortage of water, the scarcity is likely to be expanded to 65 countries affecting almost 6000 million of world’s human population in the near future. The scarcity of water in many countries is likely to be a serious issue with the every passing day. For India, the problem of water shortage is very acute. In the last eight decades the demand for fresh water has gone up to almost 30 times and in the every passing day it is increasing at an exponential rate. While in some parts of the country, the resource is available in plenty, the other parts face its serious shortages. Immediate efforts are needed to address the problem, some aspects of which are discussed in this paper. Ismail </w:t>
      </w:r>
      <w:proofErr w:type="spellStart"/>
      <w:r w:rsidR="00772CB2" w:rsidRPr="00772CB2">
        <w:rPr>
          <w:bCs/>
          <w:iCs/>
          <w:sz w:val="18"/>
        </w:rPr>
        <w:t>Serageldin</w:t>
      </w:r>
      <w:proofErr w:type="spellEnd"/>
      <w:r w:rsidR="00772CB2" w:rsidRPr="00772CB2">
        <w:rPr>
          <w:bCs/>
          <w:iCs/>
          <w:sz w:val="18"/>
        </w:rPr>
        <w:t>, Vice-President of World Bank had rightly commented in 1995 that “The wars of the next century will be about water</w:t>
      </w:r>
    </w:p>
    <w:p w:rsidR="005973B9" w:rsidRDefault="005973B9" w:rsidP="005973B9">
      <w:pPr>
        <w:spacing w:line="204" w:lineRule="exact"/>
        <w:rPr>
          <w:rFonts w:ascii="Arial"/>
          <w:b/>
          <w:sz w:val="20"/>
        </w:rPr>
      </w:pPr>
      <w:r>
        <w:rPr>
          <w:rFonts w:ascii="Arial"/>
          <w:b/>
          <w:color w:val="BF5A14"/>
          <w:sz w:val="20"/>
        </w:rPr>
        <w:br/>
        <w:t>Recent Publications (minimum 5)</w:t>
      </w: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r w:rsidRPr="00FD72EC">
        <w:rPr>
          <w:rFonts w:eastAsia="Tw Cen MT" w:cs="Tw Cen MT"/>
          <w:sz w:val="16"/>
          <w:szCs w:val="18"/>
        </w:rPr>
        <w:t>Swain J B, Patra K C (2016), “Streamflow estimation in ungauged catchments using regional flow duration curve: A comparative study”, Journal of Hydrologic Engineering, ASCE, DOI: 10.1061/ (ASCE) HE.1943-5584.0001509.</w:t>
      </w:r>
    </w:p>
    <w:p w:rsidR="00800297" w:rsidRPr="00800297" w:rsidRDefault="00800297" w:rsidP="00800297">
      <w:pPr>
        <w:jc w:val="both"/>
        <w:rPr>
          <w:rFonts w:ascii="Calibri" w:hAnsi="Calibri"/>
          <w:sz w:val="2"/>
          <w:szCs w:val="18"/>
        </w:rPr>
      </w:pP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r w:rsidRPr="00FD72EC">
        <w:rPr>
          <w:rFonts w:eastAsia="Tw Cen MT" w:cs="Tw Cen MT"/>
          <w:sz w:val="16"/>
          <w:szCs w:val="18"/>
        </w:rPr>
        <w:t>Kumar B, Patra K C, Lakshmi V (2017), “Evaluating SWAT model outputs uncertainty due DEM resolution and resampling techniques in a large Himalayan River Basin” Journal of Hydrology Engineering,  (ASCE) Accepted (Impact factor of 1.56)</w:t>
      </w:r>
    </w:p>
    <w:p w:rsidR="00800297" w:rsidRPr="00FD72EC" w:rsidRDefault="00800297" w:rsidP="00800297">
      <w:pPr>
        <w:rPr>
          <w:rFonts w:ascii="Calibri" w:hAnsi="Calibri"/>
          <w:sz w:val="4"/>
          <w:szCs w:val="18"/>
        </w:rPr>
      </w:pPr>
    </w:p>
    <w:p w:rsidR="00800297" w:rsidRPr="00FD72EC" w:rsidRDefault="00800297" w:rsidP="00800297">
      <w:pPr>
        <w:widowControl/>
        <w:numPr>
          <w:ilvl w:val="0"/>
          <w:numId w:val="4"/>
        </w:numPr>
        <w:ind w:right="-115"/>
        <w:jc w:val="both"/>
        <w:rPr>
          <w:rFonts w:ascii="Calibri" w:hAnsi="Calibri"/>
          <w:sz w:val="16"/>
          <w:szCs w:val="18"/>
        </w:rPr>
      </w:pPr>
      <w:r w:rsidRPr="00FD72EC">
        <w:rPr>
          <w:rFonts w:ascii="Calibri" w:hAnsi="Calibri"/>
          <w:sz w:val="16"/>
          <w:szCs w:val="18"/>
        </w:rPr>
        <w:t xml:space="preserve">Swain J B, </w:t>
      </w:r>
      <w:proofErr w:type="spellStart"/>
      <w:r w:rsidRPr="00FD72EC">
        <w:rPr>
          <w:rFonts w:ascii="Calibri" w:hAnsi="Calibri"/>
          <w:sz w:val="16"/>
          <w:szCs w:val="18"/>
        </w:rPr>
        <w:t>Sahoo</w:t>
      </w:r>
      <w:proofErr w:type="spellEnd"/>
      <w:r w:rsidRPr="00FD72EC">
        <w:rPr>
          <w:rFonts w:ascii="Calibri" w:hAnsi="Calibri"/>
          <w:sz w:val="16"/>
          <w:szCs w:val="18"/>
        </w:rPr>
        <w:t xml:space="preserve"> M </w:t>
      </w:r>
      <w:proofErr w:type="spellStart"/>
      <w:r w:rsidRPr="00FD72EC">
        <w:rPr>
          <w:rFonts w:ascii="Calibri" w:hAnsi="Calibri"/>
          <w:sz w:val="16"/>
          <w:szCs w:val="18"/>
        </w:rPr>
        <w:t>M</w:t>
      </w:r>
      <w:proofErr w:type="spellEnd"/>
      <w:r w:rsidRPr="00FD72EC">
        <w:rPr>
          <w:rFonts w:ascii="Calibri" w:hAnsi="Calibri"/>
          <w:sz w:val="16"/>
          <w:szCs w:val="18"/>
        </w:rPr>
        <w:t xml:space="preserve">, Patra K C (2016), “Homogeneous region determination using linear and nonlinear techniques”, Physical Geography, Taylor and Francis, vol. 37 (5), 361-384. </w:t>
      </w: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r w:rsidRPr="00FD72EC">
        <w:rPr>
          <w:rFonts w:eastAsia="Tw Cen MT" w:cs="Tw Cen MT"/>
          <w:sz w:val="16"/>
          <w:szCs w:val="18"/>
        </w:rPr>
        <w:t xml:space="preserve">Kumar B, Patra K C, Lakshmi V, (2016), “Daily Rainfall Statistics of TRMM and CMORPH: A Case for Trans-boundary </w:t>
      </w:r>
      <w:proofErr w:type="spellStart"/>
      <w:r w:rsidRPr="00FD72EC">
        <w:rPr>
          <w:rFonts w:eastAsia="Tw Cen MT" w:cs="Tw Cen MT"/>
          <w:sz w:val="16"/>
          <w:szCs w:val="18"/>
        </w:rPr>
        <w:t>Gandak</w:t>
      </w:r>
      <w:proofErr w:type="spellEnd"/>
      <w:r w:rsidRPr="00FD72EC">
        <w:rPr>
          <w:rFonts w:eastAsia="Tw Cen MT" w:cs="Tw Cen MT"/>
          <w:sz w:val="16"/>
          <w:szCs w:val="18"/>
        </w:rPr>
        <w:t xml:space="preserve"> River Basin”, Journal of Earth System Sciences, Springer, Volume 125(5), pp 919–934. </w:t>
      </w:r>
    </w:p>
    <w:p w:rsidR="00800297" w:rsidRPr="00800297" w:rsidRDefault="00800297" w:rsidP="00800297">
      <w:pPr>
        <w:widowControl/>
        <w:spacing w:after="120"/>
        <w:ind w:left="360" w:right="-108"/>
        <w:jc w:val="both"/>
        <w:rPr>
          <w:rFonts w:ascii="Calibri" w:hAnsi="Calibri"/>
          <w:sz w:val="2"/>
          <w:szCs w:val="18"/>
        </w:rPr>
      </w:pPr>
    </w:p>
    <w:p w:rsidR="00800297" w:rsidRPr="00FD72EC" w:rsidRDefault="00800297" w:rsidP="00800297">
      <w:pPr>
        <w:widowControl/>
        <w:numPr>
          <w:ilvl w:val="0"/>
          <w:numId w:val="4"/>
        </w:numPr>
        <w:spacing w:after="120"/>
        <w:ind w:right="-108"/>
        <w:jc w:val="both"/>
        <w:rPr>
          <w:rFonts w:ascii="Calibri" w:hAnsi="Calibri"/>
          <w:sz w:val="16"/>
          <w:szCs w:val="18"/>
        </w:rPr>
      </w:pPr>
      <w:r w:rsidRPr="00FD72EC">
        <w:rPr>
          <w:rFonts w:ascii="Calibri" w:hAnsi="Calibri"/>
          <w:sz w:val="16"/>
          <w:szCs w:val="18"/>
        </w:rPr>
        <w:t xml:space="preserve">Kumar B, Patra K C, Lakshmi V, (2016), “Error in Digital Network and Basin Area Delineation Using D 8 Method- A Case Study in a sub basin of the Ganga”, Journal of Geological Society of India, Springer, 89(1) pp-65-70. </w:t>
      </w:r>
    </w:p>
    <w:p w:rsidR="00800297" w:rsidRPr="00FD72EC" w:rsidRDefault="00800297" w:rsidP="00800297">
      <w:pPr>
        <w:widowControl/>
        <w:numPr>
          <w:ilvl w:val="0"/>
          <w:numId w:val="4"/>
        </w:numPr>
        <w:spacing w:after="120"/>
        <w:ind w:right="-108"/>
        <w:jc w:val="both"/>
        <w:rPr>
          <w:rFonts w:ascii="Calibri" w:hAnsi="Calibri"/>
          <w:sz w:val="16"/>
          <w:szCs w:val="18"/>
        </w:rPr>
      </w:pPr>
      <w:proofErr w:type="spellStart"/>
      <w:r w:rsidRPr="00FD72EC">
        <w:rPr>
          <w:rFonts w:ascii="Calibri" w:hAnsi="Calibri"/>
          <w:sz w:val="16"/>
          <w:szCs w:val="18"/>
        </w:rPr>
        <w:t>Sahoo</w:t>
      </w:r>
      <w:proofErr w:type="spellEnd"/>
      <w:r w:rsidRPr="00FD72EC">
        <w:rPr>
          <w:rFonts w:ascii="Calibri" w:hAnsi="Calibri"/>
          <w:sz w:val="16"/>
          <w:szCs w:val="18"/>
        </w:rPr>
        <w:t xml:space="preserve"> M </w:t>
      </w:r>
      <w:proofErr w:type="spellStart"/>
      <w:r w:rsidRPr="00FD72EC">
        <w:rPr>
          <w:rFonts w:ascii="Calibri" w:hAnsi="Calibri"/>
          <w:sz w:val="16"/>
          <w:szCs w:val="18"/>
        </w:rPr>
        <w:t>M</w:t>
      </w:r>
      <w:proofErr w:type="spellEnd"/>
      <w:r w:rsidRPr="00FD72EC">
        <w:rPr>
          <w:rFonts w:ascii="Calibri" w:hAnsi="Calibri"/>
          <w:sz w:val="16"/>
          <w:szCs w:val="18"/>
        </w:rPr>
        <w:t xml:space="preserve">, Patra K C, Swain J B, (2016), “Application of </w:t>
      </w:r>
      <w:proofErr w:type="spellStart"/>
      <w:r w:rsidRPr="00FD72EC">
        <w:rPr>
          <w:rFonts w:ascii="Calibri" w:hAnsi="Calibri"/>
          <w:sz w:val="16"/>
          <w:szCs w:val="18"/>
        </w:rPr>
        <w:t>Baye’s</w:t>
      </w:r>
      <w:proofErr w:type="spellEnd"/>
      <w:r w:rsidRPr="00FD72EC">
        <w:rPr>
          <w:rFonts w:ascii="Calibri" w:hAnsi="Calibri"/>
          <w:sz w:val="16"/>
          <w:szCs w:val="18"/>
        </w:rPr>
        <w:t xml:space="preserve"> Bayes Rule and Entropy Weight Method for Water Quality Evaluation”, European Journal of Environ and Civil Engineering, Taylor and Francis, vol. 21, pp 1-23. </w:t>
      </w:r>
    </w:p>
    <w:p w:rsidR="00800297" w:rsidRPr="00FD72EC" w:rsidRDefault="00800297" w:rsidP="00800297">
      <w:pPr>
        <w:widowControl/>
        <w:numPr>
          <w:ilvl w:val="0"/>
          <w:numId w:val="4"/>
        </w:numPr>
        <w:spacing w:after="120"/>
        <w:ind w:right="-108"/>
        <w:jc w:val="both"/>
        <w:rPr>
          <w:rFonts w:ascii="Calibri" w:hAnsi="Calibri"/>
          <w:sz w:val="16"/>
          <w:szCs w:val="18"/>
        </w:rPr>
      </w:pPr>
      <w:proofErr w:type="spellStart"/>
      <w:r w:rsidRPr="00FD72EC">
        <w:rPr>
          <w:rFonts w:ascii="Calibri" w:hAnsi="Calibri"/>
          <w:sz w:val="16"/>
          <w:szCs w:val="18"/>
        </w:rPr>
        <w:t>Khatua</w:t>
      </w:r>
      <w:proofErr w:type="spellEnd"/>
      <w:r w:rsidRPr="00FD72EC">
        <w:rPr>
          <w:rFonts w:ascii="Calibri" w:hAnsi="Calibri"/>
          <w:sz w:val="16"/>
          <w:szCs w:val="18"/>
        </w:rPr>
        <w:t xml:space="preserve"> K.K, Patra K C, </w:t>
      </w:r>
      <w:proofErr w:type="gramStart"/>
      <w:r w:rsidRPr="00FD72EC">
        <w:rPr>
          <w:rFonts w:ascii="Calibri" w:hAnsi="Calibri"/>
          <w:sz w:val="16"/>
          <w:szCs w:val="18"/>
        </w:rPr>
        <w:t xml:space="preserve">and  </w:t>
      </w:r>
      <w:proofErr w:type="spellStart"/>
      <w:r w:rsidRPr="00FD72EC">
        <w:rPr>
          <w:rFonts w:ascii="Calibri" w:hAnsi="Calibri"/>
          <w:sz w:val="16"/>
          <w:szCs w:val="18"/>
        </w:rPr>
        <w:t>Mohanty</w:t>
      </w:r>
      <w:proofErr w:type="spellEnd"/>
      <w:proofErr w:type="gramEnd"/>
      <w:r w:rsidRPr="00FD72EC">
        <w:rPr>
          <w:rFonts w:ascii="Calibri" w:hAnsi="Calibri"/>
          <w:sz w:val="16"/>
          <w:szCs w:val="18"/>
        </w:rPr>
        <w:t xml:space="preserve"> P K, (2012), “Stage-Discharge Prediction for Straight and Smooth Compound Channels with Wide Floodplains”, Journal of Hydraulic Engineering, </w:t>
      </w:r>
      <w:proofErr w:type="spellStart"/>
      <w:r w:rsidRPr="00FD72EC">
        <w:rPr>
          <w:rFonts w:ascii="Calibri" w:hAnsi="Calibri"/>
          <w:sz w:val="16"/>
          <w:szCs w:val="18"/>
        </w:rPr>
        <w:t>ASCE,Vol</w:t>
      </w:r>
      <w:proofErr w:type="spellEnd"/>
      <w:r w:rsidRPr="00FD72EC">
        <w:rPr>
          <w:rFonts w:ascii="Calibri" w:hAnsi="Calibri"/>
          <w:sz w:val="16"/>
          <w:szCs w:val="18"/>
        </w:rPr>
        <w:t xml:space="preserve">. 138,  No 1, pp 93-99. </w:t>
      </w:r>
    </w:p>
    <w:p w:rsidR="00800297" w:rsidRDefault="00800297" w:rsidP="00800297">
      <w:pPr>
        <w:widowControl/>
        <w:numPr>
          <w:ilvl w:val="0"/>
          <w:numId w:val="4"/>
        </w:numPr>
        <w:spacing w:after="120"/>
        <w:ind w:right="-108"/>
        <w:jc w:val="both"/>
        <w:rPr>
          <w:rFonts w:ascii="Calibri" w:hAnsi="Calibri"/>
          <w:sz w:val="16"/>
          <w:szCs w:val="18"/>
        </w:rPr>
      </w:pPr>
      <w:r w:rsidRPr="00FD72EC">
        <w:rPr>
          <w:rFonts w:ascii="Calibri" w:hAnsi="Calibri"/>
          <w:sz w:val="16"/>
          <w:szCs w:val="18"/>
        </w:rPr>
        <w:t xml:space="preserve">Patra K.C. and </w:t>
      </w:r>
      <w:proofErr w:type="spellStart"/>
      <w:r w:rsidRPr="00FD72EC">
        <w:rPr>
          <w:rFonts w:ascii="Calibri" w:hAnsi="Calibri"/>
          <w:sz w:val="16"/>
          <w:szCs w:val="18"/>
        </w:rPr>
        <w:t>Kar</w:t>
      </w:r>
      <w:proofErr w:type="spellEnd"/>
      <w:r w:rsidRPr="00FD72EC">
        <w:rPr>
          <w:rFonts w:ascii="Calibri" w:hAnsi="Calibri"/>
          <w:sz w:val="16"/>
          <w:szCs w:val="18"/>
        </w:rPr>
        <w:t xml:space="preserve"> S.K, (2005), “Flow and Velocity Distribution in Meandering Rivers with Floodplains”, Journal of Hydraulic Engineering, ASCE, Vol.130, No. 5, Paper No. 22343 HY, pp. 398-411. </w:t>
      </w:r>
    </w:p>
    <w:p w:rsidR="00800297" w:rsidRPr="00FD72EC" w:rsidRDefault="00800297" w:rsidP="00800297">
      <w:pPr>
        <w:widowControl/>
        <w:numPr>
          <w:ilvl w:val="0"/>
          <w:numId w:val="4"/>
        </w:numPr>
        <w:spacing w:after="120"/>
        <w:jc w:val="both"/>
        <w:rPr>
          <w:rFonts w:ascii="Calibri" w:hAnsi="Calibri"/>
          <w:sz w:val="16"/>
          <w:szCs w:val="18"/>
        </w:rPr>
      </w:pPr>
      <w:r w:rsidRPr="00FD72EC">
        <w:rPr>
          <w:rFonts w:ascii="Calibri" w:hAnsi="Calibri"/>
          <w:sz w:val="16"/>
          <w:szCs w:val="18"/>
        </w:rPr>
        <w:t xml:space="preserve">Patra K.C. and </w:t>
      </w:r>
      <w:proofErr w:type="spellStart"/>
      <w:r w:rsidRPr="00FD72EC">
        <w:rPr>
          <w:rFonts w:ascii="Calibri" w:hAnsi="Calibri"/>
          <w:sz w:val="16"/>
          <w:szCs w:val="18"/>
        </w:rPr>
        <w:t>Kar</w:t>
      </w:r>
      <w:proofErr w:type="spellEnd"/>
      <w:r w:rsidRPr="00FD72EC">
        <w:rPr>
          <w:rFonts w:ascii="Calibri" w:hAnsi="Calibri"/>
          <w:sz w:val="16"/>
          <w:szCs w:val="18"/>
        </w:rPr>
        <w:t xml:space="preserve"> S.K, (2000), “Flow Interaction of Meandering River with Floodplains”, Journal of Hydraulic Engineering, </w:t>
      </w:r>
      <w:proofErr w:type="spellStart"/>
      <w:r w:rsidRPr="00FD72EC">
        <w:rPr>
          <w:rFonts w:ascii="Calibri" w:hAnsi="Calibri"/>
          <w:sz w:val="16"/>
          <w:szCs w:val="18"/>
        </w:rPr>
        <w:t>ASCE.Vol</w:t>
      </w:r>
      <w:proofErr w:type="spellEnd"/>
      <w:r w:rsidRPr="00FD72EC">
        <w:rPr>
          <w:rFonts w:ascii="Calibri" w:hAnsi="Calibri"/>
          <w:sz w:val="16"/>
          <w:szCs w:val="18"/>
        </w:rPr>
        <w:t xml:space="preserve">. 126, 0.8, Paper No. 19137 HY, pp. 593 – 604. (SCI Impact Factor of 1.258. Cited by 54) </w:t>
      </w: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r w:rsidRPr="00FD72EC">
        <w:rPr>
          <w:rFonts w:eastAsia="Tw Cen MT" w:cs="Tw Cen MT"/>
          <w:sz w:val="16"/>
          <w:szCs w:val="18"/>
        </w:rPr>
        <w:lastRenderedPageBreak/>
        <w:t xml:space="preserve">Kumar B, </w:t>
      </w:r>
      <w:proofErr w:type="spellStart"/>
      <w:r w:rsidRPr="00FD72EC">
        <w:rPr>
          <w:rFonts w:eastAsia="Tw Cen MT" w:cs="Tw Cen MT"/>
          <w:sz w:val="16"/>
          <w:szCs w:val="18"/>
        </w:rPr>
        <w:t>Chandola</w:t>
      </w:r>
      <w:proofErr w:type="spellEnd"/>
      <w:r w:rsidRPr="00FD72EC">
        <w:rPr>
          <w:rFonts w:eastAsia="Tw Cen MT" w:cs="Tw Cen MT"/>
          <w:sz w:val="16"/>
          <w:szCs w:val="18"/>
        </w:rPr>
        <w:t xml:space="preserve"> B K, Mohan D, Patra K C, (2016), “A way to identify groundwater potential zones (GWPZs) in rocky terrains (India)”, Ecology Environment and Conservation, 22(3), pp 1237-1244. (Scopus)</w:t>
      </w:r>
    </w:p>
    <w:p w:rsidR="00800297" w:rsidRPr="00FD72EC" w:rsidRDefault="00800297" w:rsidP="00800297">
      <w:pPr>
        <w:widowControl/>
        <w:numPr>
          <w:ilvl w:val="0"/>
          <w:numId w:val="4"/>
        </w:numPr>
        <w:spacing w:after="120"/>
        <w:jc w:val="both"/>
        <w:rPr>
          <w:rFonts w:ascii="Calibri" w:hAnsi="Calibri"/>
          <w:sz w:val="16"/>
          <w:szCs w:val="18"/>
        </w:rPr>
      </w:pPr>
      <w:proofErr w:type="spellStart"/>
      <w:r w:rsidRPr="00FD72EC">
        <w:rPr>
          <w:rFonts w:ascii="Calibri" w:hAnsi="Calibri"/>
          <w:sz w:val="16"/>
          <w:szCs w:val="18"/>
        </w:rPr>
        <w:t>Mohanta</w:t>
      </w:r>
      <w:proofErr w:type="spellEnd"/>
      <w:r w:rsidRPr="00FD72EC">
        <w:rPr>
          <w:rFonts w:ascii="Calibri" w:hAnsi="Calibri"/>
          <w:sz w:val="16"/>
          <w:szCs w:val="18"/>
        </w:rPr>
        <w:t xml:space="preserve"> A, </w:t>
      </w:r>
      <w:proofErr w:type="spellStart"/>
      <w:r w:rsidRPr="00FD72EC">
        <w:rPr>
          <w:rFonts w:ascii="Calibri" w:hAnsi="Calibri"/>
          <w:sz w:val="16"/>
          <w:szCs w:val="18"/>
        </w:rPr>
        <w:t>Khatua</w:t>
      </w:r>
      <w:proofErr w:type="spellEnd"/>
      <w:r w:rsidRPr="00FD72EC">
        <w:rPr>
          <w:rFonts w:ascii="Calibri" w:hAnsi="Calibri"/>
          <w:sz w:val="16"/>
          <w:szCs w:val="18"/>
        </w:rPr>
        <w:t xml:space="preserve"> K </w:t>
      </w:r>
      <w:proofErr w:type="spellStart"/>
      <w:r w:rsidRPr="00FD72EC">
        <w:rPr>
          <w:rFonts w:ascii="Calibri" w:hAnsi="Calibri"/>
          <w:sz w:val="16"/>
          <w:szCs w:val="18"/>
        </w:rPr>
        <w:t>K</w:t>
      </w:r>
      <w:proofErr w:type="spellEnd"/>
      <w:r w:rsidRPr="00FD72EC">
        <w:rPr>
          <w:rFonts w:ascii="Calibri" w:hAnsi="Calibri"/>
          <w:sz w:val="16"/>
          <w:szCs w:val="18"/>
        </w:rPr>
        <w:t>, and Patra K C, (2015), “Flow Modeling in Symmetrically Narrowing Flood Plains”, Elsevier Aquatic Procedia Vol. 4, pp 826-833.(Scopus)</w:t>
      </w:r>
    </w:p>
    <w:p w:rsidR="00800297" w:rsidRPr="00FD72EC" w:rsidRDefault="00800297" w:rsidP="00800297">
      <w:pPr>
        <w:widowControl/>
        <w:numPr>
          <w:ilvl w:val="0"/>
          <w:numId w:val="4"/>
        </w:numPr>
        <w:spacing w:after="120"/>
        <w:jc w:val="both"/>
        <w:rPr>
          <w:rFonts w:ascii="Calibri" w:hAnsi="Calibri"/>
          <w:sz w:val="16"/>
          <w:szCs w:val="18"/>
        </w:rPr>
      </w:pPr>
      <w:proofErr w:type="spellStart"/>
      <w:r w:rsidRPr="00FD72EC">
        <w:rPr>
          <w:rFonts w:ascii="Calibri" w:hAnsi="Calibri"/>
          <w:sz w:val="16"/>
          <w:szCs w:val="18"/>
        </w:rPr>
        <w:t>Palai</w:t>
      </w:r>
      <w:proofErr w:type="spellEnd"/>
      <w:r w:rsidRPr="00FD72EC">
        <w:rPr>
          <w:rFonts w:ascii="Calibri" w:hAnsi="Calibri"/>
          <w:sz w:val="16"/>
          <w:szCs w:val="18"/>
        </w:rPr>
        <w:t xml:space="preserve"> D P, Patra K C, and </w:t>
      </w:r>
      <w:proofErr w:type="spellStart"/>
      <w:r w:rsidRPr="00FD72EC">
        <w:rPr>
          <w:rFonts w:ascii="Calibri" w:hAnsi="Calibri"/>
          <w:sz w:val="16"/>
          <w:szCs w:val="18"/>
        </w:rPr>
        <w:t>Mohapatra</w:t>
      </w:r>
      <w:proofErr w:type="spellEnd"/>
      <w:r w:rsidRPr="00FD72EC">
        <w:rPr>
          <w:rFonts w:ascii="Calibri" w:hAnsi="Calibri"/>
          <w:sz w:val="16"/>
          <w:szCs w:val="18"/>
        </w:rPr>
        <w:t xml:space="preserve"> M R, (2015), “Numerical Analysis of Velocity Distribution in a Meandering Compound Channel”, IOSR Journal of Mechanical and Civil Engineering, e-ISSN: 2278-1684, p-ISSN: 2320-334X., pp 26-31. (Scopus)</w:t>
      </w:r>
    </w:p>
    <w:p w:rsidR="00800297" w:rsidRPr="00FD72EC" w:rsidRDefault="00800297" w:rsidP="00800297">
      <w:pPr>
        <w:pStyle w:val="ListParagraph"/>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before="0" w:line="100" w:lineRule="atLeast"/>
        <w:rPr>
          <w:rFonts w:eastAsia="Tw Cen MT" w:cs="Tw Cen MT"/>
          <w:sz w:val="16"/>
          <w:szCs w:val="18"/>
        </w:rPr>
      </w:pPr>
      <w:proofErr w:type="spellStart"/>
      <w:r w:rsidRPr="00FD72EC">
        <w:rPr>
          <w:rFonts w:eastAsia="Tw Cen MT" w:cs="Tw Cen MT"/>
          <w:sz w:val="16"/>
          <w:szCs w:val="18"/>
        </w:rPr>
        <w:t>Sahoo</w:t>
      </w:r>
      <w:proofErr w:type="spellEnd"/>
      <w:r w:rsidRPr="00FD72EC">
        <w:rPr>
          <w:rFonts w:eastAsia="Tw Cen MT" w:cs="Tw Cen MT"/>
          <w:sz w:val="16"/>
          <w:szCs w:val="18"/>
        </w:rPr>
        <w:t xml:space="preserve"> M.M, and Patra K.C, (2013), “Spatial and Temporal Variation in Water Quality using MANOVA of River </w:t>
      </w:r>
      <w:proofErr w:type="spellStart"/>
      <w:r w:rsidRPr="00FD72EC">
        <w:rPr>
          <w:rFonts w:eastAsia="Tw Cen MT" w:cs="Tw Cen MT"/>
          <w:sz w:val="16"/>
          <w:szCs w:val="18"/>
        </w:rPr>
        <w:t>Brahmani</w:t>
      </w:r>
      <w:proofErr w:type="spellEnd"/>
      <w:r w:rsidRPr="00FD72EC">
        <w:rPr>
          <w:rFonts w:eastAsia="Tw Cen MT" w:cs="Tw Cen MT"/>
          <w:sz w:val="16"/>
          <w:szCs w:val="18"/>
        </w:rPr>
        <w:t xml:space="preserve"> at India”, </w:t>
      </w:r>
      <w:proofErr w:type="spellStart"/>
      <w:r w:rsidRPr="00FD72EC">
        <w:rPr>
          <w:rFonts w:eastAsia="Tw Cen MT" w:cs="Tw Cen MT"/>
          <w:sz w:val="16"/>
          <w:szCs w:val="18"/>
        </w:rPr>
        <w:t>Elsvier</w:t>
      </w:r>
      <w:proofErr w:type="spellEnd"/>
      <w:r w:rsidRPr="00FD72EC">
        <w:rPr>
          <w:rFonts w:eastAsia="Tw Cen MT" w:cs="Tw Cen MT"/>
          <w:sz w:val="16"/>
          <w:szCs w:val="18"/>
        </w:rPr>
        <w:t xml:space="preserve"> </w:t>
      </w:r>
      <w:proofErr w:type="spellStart"/>
      <w:r w:rsidRPr="00FD72EC">
        <w:rPr>
          <w:rFonts w:eastAsia="Tw Cen MT" w:cs="Tw Cen MT"/>
          <w:sz w:val="16"/>
          <w:szCs w:val="18"/>
        </w:rPr>
        <w:t>Proceedia</w:t>
      </w:r>
      <w:proofErr w:type="spellEnd"/>
      <w:r w:rsidRPr="00FD72EC">
        <w:rPr>
          <w:rFonts w:eastAsia="Tw Cen MT" w:cs="Tw Cen MT"/>
          <w:sz w:val="16"/>
          <w:szCs w:val="18"/>
        </w:rPr>
        <w:t xml:space="preserve"> Engineering, Vol. 3 (2), pp 6-10. (Scopus),</w:t>
      </w:r>
    </w:p>
    <w:p w:rsidR="00800297" w:rsidRPr="00FD72EC" w:rsidRDefault="00800297" w:rsidP="00800297">
      <w:pPr>
        <w:pStyle w:val="ListParagraph"/>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before="0" w:line="100" w:lineRule="atLeast"/>
        <w:rPr>
          <w:rFonts w:eastAsia="Tw Cen MT" w:cs="Tw Cen MT"/>
          <w:sz w:val="16"/>
          <w:szCs w:val="18"/>
        </w:rPr>
      </w:pPr>
      <w:proofErr w:type="spellStart"/>
      <w:r w:rsidRPr="00FD72EC">
        <w:rPr>
          <w:rFonts w:eastAsia="Tw Cen MT" w:cs="Tw Cen MT"/>
          <w:sz w:val="16"/>
          <w:szCs w:val="18"/>
        </w:rPr>
        <w:t>Moharana</w:t>
      </w:r>
      <w:proofErr w:type="spellEnd"/>
      <w:r w:rsidRPr="00FD72EC">
        <w:rPr>
          <w:rFonts w:eastAsia="Tw Cen MT" w:cs="Tw Cen MT"/>
          <w:sz w:val="16"/>
          <w:szCs w:val="18"/>
        </w:rPr>
        <w:t xml:space="preserve">, S, </w:t>
      </w:r>
      <w:proofErr w:type="spellStart"/>
      <w:r w:rsidRPr="00FD72EC">
        <w:rPr>
          <w:rFonts w:eastAsia="Tw Cen MT" w:cs="Tw Cen MT"/>
          <w:sz w:val="16"/>
          <w:szCs w:val="18"/>
        </w:rPr>
        <w:t>Khatua</w:t>
      </w:r>
      <w:proofErr w:type="spellEnd"/>
      <w:r w:rsidRPr="00FD72EC">
        <w:rPr>
          <w:rFonts w:eastAsia="Tw Cen MT" w:cs="Tw Cen MT"/>
          <w:sz w:val="16"/>
          <w:szCs w:val="18"/>
        </w:rPr>
        <w:t xml:space="preserve">, K </w:t>
      </w:r>
      <w:proofErr w:type="spellStart"/>
      <w:r w:rsidRPr="00FD72EC">
        <w:rPr>
          <w:rFonts w:eastAsia="Tw Cen MT" w:cs="Tw Cen MT"/>
          <w:sz w:val="16"/>
          <w:szCs w:val="18"/>
        </w:rPr>
        <w:t>K</w:t>
      </w:r>
      <w:proofErr w:type="spellEnd"/>
      <w:r w:rsidRPr="00FD72EC">
        <w:rPr>
          <w:rFonts w:eastAsia="Tw Cen MT" w:cs="Tw Cen MT"/>
          <w:sz w:val="16"/>
          <w:szCs w:val="18"/>
        </w:rPr>
        <w:t xml:space="preserve">, and Patra K.C, (2015), “Application of </w:t>
      </w:r>
      <w:proofErr w:type="spellStart"/>
      <w:r w:rsidRPr="00FD72EC">
        <w:rPr>
          <w:rFonts w:eastAsia="Tw Cen MT" w:cs="Tw Cen MT"/>
          <w:sz w:val="16"/>
          <w:szCs w:val="18"/>
        </w:rPr>
        <w:t>Aadaptive</w:t>
      </w:r>
      <w:proofErr w:type="spellEnd"/>
      <w:r w:rsidRPr="00FD72EC">
        <w:rPr>
          <w:rFonts w:eastAsia="Tw Cen MT" w:cs="Tw Cen MT"/>
          <w:sz w:val="16"/>
          <w:szCs w:val="18"/>
        </w:rPr>
        <w:t xml:space="preserve"> Neuro-fuggy Inference System for Estimation of Roughness Coefficient”, International Journal of Sustainable Development and Planning ,   01/2015, Vol. 10, No. 1, pp 87-99. </w:t>
      </w:r>
    </w:p>
    <w:p w:rsidR="00800297" w:rsidRPr="00FD72EC" w:rsidRDefault="00800297" w:rsidP="00800297">
      <w:pPr>
        <w:pStyle w:val="ListParagraph"/>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before="0" w:line="100" w:lineRule="atLeast"/>
        <w:rPr>
          <w:rFonts w:eastAsia="Tw Cen MT" w:cs="Tw Cen MT"/>
          <w:sz w:val="16"/>
          <w:szCs w:val="18"/>
        </w:rPr>
      </w:pPr>
      <w:proofErr w:type="spellStart"/>
      <w:r w:rsidRPr="00FD72EC">
        <w:rPr>
          <w:rFonts w:eastAsia="Tw Cen MT" w:cs="Tw Cen MT"/>
          <w:sz w:val="16"/>
          <w:szCs w:val="18"/>
        </w:rPr>
        <w:t>Sahoo</w:t>
      </w:r>
      <w:proofErr w:type="spellEnd"/>
      <w:r w:rsidRPr="00FD72EC">
        <w:rPr>
          <w:rFonts w:eastAsia="Tw Cen MT" w:cs="Tw Cen MT"/>
          <w:sz w:val="16"/>
          <w:szCs w:val="18"/>
        </w:rPr>
        <w:t xml:space="preserve"> M.M and Patra K.C, (2013), “Prediction of Water Quality Index in River </w:t>
      </w:r>
      <w:proofErr w:type="spellStart"/>
      <w:r w:rsidRPr="00FD72EC">
        <w:rPr>
          <w:rFonts w:eastAsia="Tw Cen MT" w:cs="Tw Cen MT"/>
          <w:sz w:val="16"/>
          <w:szCs w:val="18"/>
        </w:rPr>
        <w:t>Brahmani</w:t>
      </w:r>
      <w:proofErr w:type="spellEnd"/>
      <w:r w:rsidRPr="00FD72EC">
        <w:rPr>
          <w:rFonts w:eastAsia="Tw Cen MT" w:cs="Tw Cen MT"/>
          <w:sz w:val="16"/>
          <w:szCs w:val="18"/>
        </w:rPr>
        <w:t xml:space="preserve"> Using Adaptive Neuro Fuzzy Inference System, </w:t>
      </w:r>
      <w:proofErr w:type="spellStart"/>
      <w:r w:rsidRPr="00FD72EC">
        <w:rPr>
          <w:rFonts w:eastAsia="Tw Cen MT" w:cs="Tw Cen MT"/>
          <w:sz w:val="16"/>
          <w:szCs w:val="18"/>
        </w:rPr>
        <w:t>Elsvier</w:t>
      </w:r>
      <w:proofErr w:type="spellEnd"/>
      <w:r w:rsidRPr="00FD72EC">
        <w:rPr>
          <w:rFonts w:eastAsia="Tw Cen MT" w:cs="Tw Cen MT"/>
          <w:sz w:val="16"/>
          <w:szCs w:val="18"/>
        </w:rPr>
        <w:t xml:space="preserve"> </w:t>
      </w:r>
      <w:proofErr w:type="spellStart"/>
      <w:r w:rsidRPr="00FD72EC">
        <w:rPr>
          <w:rFonts w:eastAsia="Tw Cen MT" w:cs="Tw Cen MT"/>
          <w:sz w:val="16"/>
          <w:szCs w:val="18"/>
        </w:rPr>
        <w:t>Proceedia</w:t>
      </w:r>
      <w:proofErr w:type="spellEnd"/>
      <w:r w:rsidRPr="00FD72EC">
        <w:rPr>
          <w:rFonts w:eastAsia="Tw Cen MT" w:cs="Tw Cen MT"/>
          <w:sz w:val="16"/>
          <w:szCs w:val="18"/>
        </w:rPr>
        <w:t xml:space="preserve"> </w:t>
      </w:r>
      <w:proofErr w:type="spellStart"/>
      <w:r w:rsidRPr="00FD72EC">
        <w:rPr>
          <w:rFonts w:eastAsia="Tw Cen MT" w:cs="Tw Cen MT"/>
          <w:sz w:val="16"/>
          <w:szCs w:val="18"/>
        </w:rPr>
        <w:t>Engg</w:t>
      </w:r>
      <w:proofErr w:type="spellEnd"/>
      <w:r w:rsidRPr="00FD72EC">
        <w:rPr>
          <w:rFonts w:eastAsia="Tw Cen MT" w:cs="Tw Cen MT"/>
          <w:sz w:val="16"/>
          <w:szCs w:val="18"/>
        </w:rPr>
        <w:t xml:space="preserve">, Vol. 3 (2), 11-16. </w:t>
      </w:r>
    </w:p>
    <w:p w:rsidR="00800297" w:rsidRPr="00FD72EC" w:rsidRDefault="00800297" w:rsidP="00800297">
      <w:pPr>
        <w:widowControl/>
        <w:numPr>
          <w:ilvl w:val="0"/>
          <w:numId w:val="4"/>
        </w:numPr>
        <w:autoSpaceDE w:val="0"/>
        <w:autoSpaceDN w:val="0"/>
        <w:adjustRightInd w:val="0"/>
        <w:spacing w:after="120"/>
        <w:ind w:left="357" w:right="-108" w:hanging="357"/>
        <w:jc w:val="both"/>
        <w:rPr>
          <w:rFonts w:ascii="Calibri" w:hAnsi="Calibri"/>
          <w:sz w:val="16"/>
          <w:szCs w:val="18"/>
        </w:rPr>
      </w:pPr>
      <w:r w:rsidRPr="00FD72EC">
        <w:rPr>
          <w:rFonts w:ascii="Calibri" w:hAnsi="Calibri"/>
          <w:sz w:val="16"/>
          <w:szCs w:val="18"/>
        </w:rPr>
        <w:t xml:space="preserve">Patra K C, (2013), “Discharge Assessment in Straight and Meandering Compound Channels” ISH Journal of Hydraulic Engineering, Taylor and Francis, UK. </w:t>
      </w:r>
      <w:hyperlink r:id="rId10" w:history="1">
        <w:r w:rsidRPr="00FD72EC">
          <w:rPr>
            <w:rFonts w:ascii="Calibri" w:hAnsi="Calibri"/>
            <w:sz w:val="16"/>
            <w:szCs w:val="18"/>
          </w:rPr>
          <w:t>doi.org/10.1080/09715010.2013.787717</w:t>
        </w:r>
      </w:hyperlink>
      <w:r w:rsidRPr="00FD72EC">
        <w:rPr>
          <w:rFonts w:ascii="Calibri" w:hAnsi="Calibri"/>
          <w:sz w:val="16"/>
          <w:szCs w:val="18"/>
        </w:rPr>
        <w:t>. (Scopus)</w:t>
      </w:r>
    </w:p>
    <w:p w:rsidR="00800297" w:rsidRPr="00FD72EC" w:rsidRDefault="00800297" w:rsidP="00800297">
      <w:pPr>
        <w:widowControl/>
        <w:numPr>
          <w:ilvl w:val="0"/>
          <w:numId w:val="4"/>
        </w:numPr>
        <w:shd w:val="clear" w:color="auto" w:fill="FDFDFD"/>
        <w:autoSpaceDE w:val="0"/>
        <w:autoSpaceDN w:val="0"/>
        <w:adjustRightInd w:val="0"/>
        <w:spacing w:after="120"/>
        <w:ind w:left="357" w:right="-108" w:hanging="357"/>
        <w:jc w:val="both"/>
        <w:rPr>
          <w:rFonts w:ascii="Calibri" w:hAnsi="Calibri"/>
          <w:sz w:val="16"/>
          <w:szCs w:val="18"/>
        </w:rPr>
      </w:pPr>
      <w:proofErr w:type="spellStart"/>
      <w:r w:rsidRPr="00FD72EC">
        <w:rPr>
          <w:rFonts w:ascii="Calibri" w:hAnsi="Calibri"/>
          <w:sz w:val="16"/>
          <w:szCs w:val="18"/>
        </w:rPr>
        <w:t>Mohanty</w:t>
      </w:r>
      <w:proofErr w:type="spellEnd"/>
      <w:r w:rsidRPr="00FD72EC">
        <w:rPr>
          <w:rFonts w:ascii="Calibri" w:hAnsi="Calibri"/>
          <w:sz w:val="16"/>
          <w:szCs w:val="18"/>
        </w:rPr>
        <w:t xml:space="preserve"> L, Patra K.C, (2013), “Modeling Depth Averaged Velocity in Trapezoidal Meandering Channels” ISH Journal of Hydraulic Engineering, Taylor and Francis, UK, Paper No ISH JHE 66-625. </w:t>
      </w:r>
      <w:hyperlink r:id="rId11" w:history="1">
        <w:r w:rsidRPr="00FD72EC">
          <w:rPr>
            <w:rFonts w:ascii="Calibri" w:hAnsi="Calibri"/>
            <w:sz w:val="16"/>
            <w:szCs w:val="18"/>
          </w:rPr>
          <w:t>doi.org/10.1080/09715010.2013.857472</w:t>
        </w:r>
      </w:hyperlink>
      <w:r w:rsidRPr="00FD72EC">
        <w:rPr>
          <w:rFonts w:ascii="Calibri" w:hAnsi="Calibri"/>
          <w:sz w:val="16"/>
          <w:szCs w:val="18"/>
        </w:rPr>
        <w:t xml:space="preserve"> (Scopus)</w:t>
      </w:r>
    </w:p>
    <w:p w:rsidR="00800297" w:rsidRPr="00FD72EC" w:rsidRDefault="00800297" w:rsidP="00800297">
      <w:pPr>
        <w:widowControl/>
        <w:numPr>
          <w:ilvl w:val="0"/>
          <w:numId w:val="4"/>
        </w:numPr>
        <w:shd w:val="clear" w:color="auto" w:fill="FDFDFD"/>
        <w:autoSpaceDE w:val="0"/>
        <w:autoSpaceDN w:val="0"/>
        <w:adjustRightInd w:val="0"/>
        <w:spacing w:after="120"/>
        <w:ind w:left="357" w:right="-108" w:hanging="357"/>
        <w:jc w:val="both"/>
        <w:rPr>
          <w:rFonts w:ascii="Calibri" w:hAnsi="Calibri"/>
          <w:sz w:val="16"/>
          <w:szCs w:val="18"/>
        </w:rPr>
      </w:pPr>
      <w:r w:rsidRPr="00FD72EC">
        <w:rPr>
          <w:rFonts w:ascii="Calibri" w:hAnsi="Calibri"/>
          <w:sz w:val="16"/>
          <w:szCs w:val="18"/>
        </w:rPr>
        <w:t>Patnaik M, Patra K.C, (2013), “Boundary Shear Distribution in Highly Sinuous Meandering Channels” ISH Journal of Hydraulic Engineering, Taylor and Francis, UK, Paper No ISH JHE 131-1233. doi.org/10.1080/09715010.2013.860733. (Scopus)</w:t>
      </w:r>
    </w:p>
    <w:p w:rsidR="00800297" w:rsidRPr="00FD72EC" w:rsidRDefault="00800297" w:rsidP="00800297">
      <w:pPr>
        <w:widowControl/>
        <w:numPr>
          <w:ilvl w:val="0"/>
          <w:numId w:val="4"/>
        </w:numPr>
        <w:autoSpaceDE w:val="0"/>
        <w:autoSpaceDN w:val="0"/>
        <w:adjustRightInd w:val="0"/>
        <w:spacing w:after="120"/>
        <w:ind w:left="357" w:right="-108" w:hanging="357"/>
        <w:jc w:val="both"/>
        <w:rPr>
          <w:rFonts w:ascii="Calibri" w:hAnsi="Calibri"/>
          <w:sz w:val="16"/>
          <w:szCs w:val="18"/>
        </w:rPr>
      </w:pPr>
      <w:proofErr w:type="spellStart"/>
      <w:r w:rsidRPr="00FD72EC">
        <w:rPr>
          <w:rFonts w:ascii="Calibri" w:hAnsi="Calibri"/>
          <w:sz w:val="16"/>
          <w:szCs w:val="18"/>
        </w:rPr>
        <w:t>Khatua</w:t>
      </w:r>
      <w:proofErr w:type="spellEnd"/>
      <w:r w:rsidRPr="00FD72EC">
        <w:rPr>
          <w:rFonts w:ascii="Calibri" w:hAnsi="Calibri"/>
          <w:sz w:val="16"/>
          <w:szCs w:val="18"/>
        </w:rPr>
        <w:t xml:space="preserve"> K.K and Patra K.C, (2012), “Selection of Interface Plane for Discharge Prediction in Compound Channels”, International Journal of Sustainable Development. The paper is re-reviewed and accepted for publication in the International Journal of Sustainable Development and Planning, UK, Vol. 0, No. 0, pp 1-17. (Scopus)</w:t>
      </w:r>
    </w:p>
    <w:p w:rsidR="00800297" w:rsidRPr="00FD72EC" w:rsidRDefault="00800297" w:rsidP="00800297">
      <w:pPr>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after="120"/>
        <w:ind w:right="-108" w:hanging="357"/>
        <w:jc w:val="both"/>
        <w:rPr>
          <w:sz w:val="16"/>
          <w:szCs w:val="18"/>
        </w:rPr>
      </w:pPr>
      <w:proofErr w:type="spellStart"/>
      <w:r w:rsidRPr="00FD72EC">
        <w:rPr>
          <w:rFonts w:ascii="Calibri" w:hAnsi="Calibri"/>
          <w:sz w:val="16"/>
          <w:szCs w:val="18"/>
        </w:rPr>
        <w:t>Khatua</w:t>
      </w:r>
      <w:proofErr w:type="spellEnd"/>
      <w:r w:rsidRPr="00FD72EC">
        <w:rPr>
          <w:rFonts w:ascii="Calibri" w:hAnsi="Calibri"/>
          <w:sz w:val="16"/>
          <w:szCs w:val="18"/>
        </w:rPr>
        <w:t xml:space="preserve"> K.K, Patra K C, and </w:t>
      </w:r>
      <w:proofErr w:type="spellStart"/>
      <w:r w:rsidRPr="00FD72EC">
        <w:rPr>
          <w:rFonts w:ascii="Calibri" w:hAnsi="Calibri"/>
          <w:sz w:val="16"/>
          <w:szCs w:val="18"/>
        </w:rPr>
        <w:t>Nayak</w:t>
      </w:r>
      <w:proofErr w:type="spellEnd"/>
      <w:r w:rsidRPr="00FD72EC">
        <w:rPr>
          <w:rFonts w:ascii="Calibri" w:hAnsi="Calibri"/>
          <w:sz w:val="16"/>
          <w:szCs w:val="18"/>
        </w:rPr>
        <w:t xml:space="preserve"> P, (2011), “Meandering Effect for Evaluation of Roughness Coefficients in Open Channel Flow”, Journal of River Basin Management, Volume VI, PP 213-226. (Cited by 5) </w:t>
      </w:r>
    </w:p>
    <w:p w:rsidR="00800297" w:rsidRPr="00FD72EC" w:rsidRDefault="00800297" w:rsidP="00800297">
      <w:pPr>
        <w:pStyle w:val="ListParagraph"/>
        <w:widowControl/>
        <w:numPr>
          <w:ilvl w:val="0"/>
          <w:numId w:val="4"/>
        </w:numPr>
        <w:spacing w:before="0" w:line="240" w:lineRule="auto"/>
        <w:rPr>
          <w:rFonts w:eastAsia="Tw Cen MT" w:cs="Tw Cen MT"/>
          <w:sz w:val="16"/>
          <w:szCs w:val="18"/>
        </w:rPr>
      </w:pPr>
      <w:proofErr w:type="spellStart"/>
      <w:r w:rsidRPr="00FD72EC">
        <w:rPr>
          <w:rFonts w:eastAsia="Tw Cen MT" w:cs="Tw Cen MT"/>
          <w:sz w:val="16"/>
          <w:szCs w:val="18"/>
        </w:rPr>
        <w:t>Sahoo</w:t>
      </w:r>
      <w:proofErr w:type="spellEnd"/>
      <w:r w:rsidRPr="00FD72EC">
        <w:rPr>
          <w:rFonts w:eastAsia="Tw Cen MT" w:cs="Tw Cen MT"/>
          <w:sz w:val="16"/>
          <w:szCs w:val="18"/>
        </w:rPr>
        <w:t xml:space="preserve"> M </w:t>
      </w:r>
      <w:proofErr w:type="spellStart"/>
      <w:r w:rsidRPr="00FD72EC">
        <w:rPr>
          <w:rFonts w:eastAsia="Tw Cen MT" w:cs="Tw Cen MT"/>
          <w:sz w:val="16"/>
          <w:szCs w:val="18"/>
        </w:rPr>
        <w:t>M</w:t>
      </w:r>
      <w:proofErr w:type="spellEnd"/>
      <w:r w:rsidRPr="00FD72EC">
        <w:rPr>
          <w:rFonts w:eastAsia="Tw Cen MT" w:cs="Tw Cen MT"/>
          <w:sz w:val="16"/>
          <w:szCs w:val="18"/>
        </w:rPr>
        <w:t xml:space="preserve">, Patra K C, and </w:t>
      </w:r>
      <w:proofErr w:type="spellStart"/>
      <w:r w:rsidRPr="00FD72EC">
        <w:rPr>
          <w:rFonts w:eastAsia="Tw Cen MT" w:cs="Tw Cen MT"/>
          <w:sz w:val="16"/>
          <w:szCs w:val="18"/>
        </w:rPr>
        <w:t>Khatua</w:t>
      </w:r>
      <w:proofErr w:type="spellEnd"/>
      <w:r w:rsidRPr="00FD72EC">
        <w:rPr>
          <w:rFonts w:eastAsia="Tw Cen MT" w:cs="Tw Cen MT"/>
          <w:sz w:val="16"/>
          <w:szCs w:val="18"/>
        </w:rPr>
        <w:t xml:space="preserve"> K </w:t>
      </w:r>
      <w:proofErr w:type="spellStart"/>
      <w:r w:rsidRPr="00FD72EC">
        <w:rPr>
          <w:rFonts w:eastAsia="Tw Cen MT" w:cs="Tw Cen MT"/>
          <w:sz w:val="16"/>
          <w:szCs w:val="18"/>
        </w:rPr>
        <w:t>K</w:t>
      </w:r>
      <w:proofErr w:type="spellEnd"/>
      <w:r w:rsidRPr="00FD72EC">
        <w:rPr>
          <w:rFonts w:eastAsia="Tw Cen MT" w:cs="Tw Cen MT"/>
          <w:sz w:val="16"/>
          <w:szCs w:val="18"/>
        </w:rPr>
        <w:t>, (2015), “Inference of Water Quality Index Using ANFIS and PCA”, Aquatic Procedia. 4(2015). pp 1099-1106. (Google Scholar)</w:t>
      </w:r>
    </w:p>
    <w:p w:rsidR="00800297" w:rsidRPr="00FD72EC" w:rsidRDefault="00800297" w:rsidP="00800297">
      <w:pPr>
        <w:pStyle w:val="ListParagraph"/>
        <w:widowControl/>
        <w:numPr>
          <w:ilvl w:val="0"/>
          <w:numId w:val="4"/>
        </w:num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spacing w:before="0" w:line="100" w:lineRule="atLeast"/>
        <w:rPr>
          <w:rFonts w:eastAsia="Tw Cen MT" w:cs="Tw Cen MT"/>
          <w:sz w:val="16"/>
          <w:szCs w:val="18"/>
        </w:rPr>
      </w:pPr>
      <w:proofErr w:type="spellStart"/>
      <w:r w:rsidRPr="00FD72EC">
        <w:rPr>
          <w:rFonts w:eastAsia="Tw Cen MT" w:cs="Tw Cen MT"/>
          <w:sz w:val="16"/>
          <w:szCs w:val="18"/>
        </w:rPr>
        <w:t>Sahoo</w:t>
      </w:r>
      <w:proofErr w:type="spellEnd"/>
      <w:r w:rsidRPr="00FD72EC">
        <w:rPr>
          <w:rFonts w:eastAsia="Tw Cen MT" w:cs="Tw Cen MT"/>
          <w:sz w:val="16"/>
          <w:szCs w:val="18"/>
        </w:rPr>
        <w:t xml:space="preserve"> M.M, and Patra K.C, (2013), “Prediction and Comparison of WQI using ANFIS and ANN”, International Journal of Environmental Sciences (Google Scholar). Vol.3 (2), 4-7.</w:t>
      </w:r>
    </w:p>
    <w:p w:rsidR="00800297" w:rsidRPr="00FD72EC" w:rsidRDefault="00800297" w:rsidP="00800297">
      <w:pPr>
        <w:jc w:val="both"/>
        <w:rPr>
          <w:rFonts w:ascii="Calibri" w:hAnsi="Calibri"/>
          <w:sz w:val="16"/>
          <w:szCs w:val="18"/>
        </w:rPr>
      </w:pPr>
    </w:p>
    <w:p w:rsidR="00AE3E37" w:rsidRPr="00FD72EC" w:rsidRDefault="008756E6">
      <w:pPr>
        <w:spacing w:line="200" w:lineRule="exact"/>
        <w:jc w:val="both"/>
        <w:rPr>
          <w:rFonts w:ascii="Calibri" w:hAnsi="Calibri"/>
          <w:sz w:val="2"/>
        </w:rPr>
        <w:sectPr w:rsidR="00AE3E37" w:rsidRPr="00FD72EC">
          <w:type w:val="continuous"/>
          <w:pgSz w:w="11910" w:h="16840"/>
          <w:pgMar w:top="1740" w:right="600" w:bottom="840" w:left="620" w:header="720" w:footer="720" w:gutter="0"/>
          <w:cols w:num="2" w:space="720" w:equalWidth="0">
            <w:col w:w="5214" w:space="138"/>
            <w:col w:w="5338"/>
          </w:cols>
        </w:sectPr>
      </w:pPr>
      <w:r w:rsidRPr="00FD72EC">
        <w:rPr>
          <w:rFonts w:ascii="Calibri" w:hAnsi="Calibri"/>
          <w:sz w:val="20"/>
        </w:rPr>
        <w:t xml:space="preserve"> </w:t>
      </w:r>
    </w:p>
    <w:p w:rsidR="00AE3E37" w:rsidRPr="00FD72EC" w:rsidRDefault="00AE3E37">
      <w:pPr>
        <w:pStyle w:val="BodyText"/>
        <w:rPr>
          <w:rFonts w:ascii="Calibri"/>
          <w:sz w:val="2"/>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8AB1BD7" wp14:editId="4757DE3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F200E7" w:rsidRDefault="00F200E7">
      <w:pPr>
        <w:spacing w:before="41" w:line="154" w:lineRule="exact"/>
        <w:ind w:left="213" w:right="231"/>
        <w:jc w:val="both"/>
        <w:rPr>
          <w:rFonts w:ascii="Arial"/>
          <w:sz w:val="14"/>
        </w:rPr>
      </w:pPr>
      <w:r>
        <w:rPr>
          <w:rFonts w:ascii="Arial"/>
          <w:sz w:val="14"/>
        </w:rPr>
        <w:t>Prof (</w:t>
      </w:r>
      <w:r w:rsidR="00FD72EC">
        <w:rPr>
          <w:rFonts w:ascii="Arial"/>
          <w:sz w:val="14"/>
        </w:rPr>
        <w:t>Dr</w:t>
      </w:r>
      <w:r>
        <w:rPr>
          <w:rFonts w:ascii="Arial"/>
          <w:sz w:val="14"/>
        </w:rPr>
        <w:t xml:space="preserve">.) </w:t>
      </w:r>
      <w:proofErr w:type="spellStart"/>
      <w:r w:rsidR="00FD72EC">
        <w:rPr>
          <w:rFonts w:ascii="Arial"/>
          <w:sz w:val="14"/>
        </w:rPr>
        <w:t>Kanhu</w:t>
      </w:r>
      <w:proofErr w:type="spellEnd"/>
      <w:r w:rsidR="00FD72EC">
        <w:rPr>
          <w:rFonts w:ascii="Arial"/>
          <w:sz w:val="14"/>
        </w:rPr>
        <w:t xml:space="preserve"> </w:t>
      </w:r>
      <w:proofErr w:type="spellStart"/>
      <w:r w:rsidR="00FD72EC">
        <w:rPr>
          <w:rFonts w:ascii="Arial"/>
          <w:sz w:val="14"/>
        </w:rPr>
        <w:t>Charan</w:t>
      </w:r>
      <w:proofErr w:type="spellEnd"/>
      <w:r w:rsidR="00FD72EC">
        <w:rPr>
          <w:rFonts w:ascii="Arial"/>
          <w:sz w:val="14"/>
        </w:rPr>
        <w:t xml:space="preserve"> Patra </w:t>
      </w:r>
      <w:r w:rsidR="00A9710C">
        <w:rPr>
          <w:rFonts w:ascii="Arial"/>
          <w:sz w:val="14"/>
        </w:rPr>
        <w:t xml:space="preserve">has </w:t>
      </w:r>
      <w:r>
        <w:rPr>
          <w:rFonts w:ascii="Arial"/>
          <w:sz w:val="14"/>
        </w:rPr>
        <w:t xml:space="preserve">vast work experience of 35 years in the </w:t>
      </w:r>
      <w:r w:rsidR="00703868">
        <w:rPr>
          <w:rFonts w:ascii="Arial"/>
          <w:sz w:val="14"/>
        </w:rPr>
        <w:t xml:space="preserve">field </w:t>
      </w:r>
      <w:r>
        <w:rPr>
          <w:rFonts w:ascii="Arial"/>
          <w:sz w:val="14"/>
        </w:rPr>
        <w:t xml:space="preserve">of </w:t>
      </w:r>
      <w:r w:rsidR="00FD72EC">
        <w:rPr>
          <w:rFonts w:ascii="Arial"/>
          <w:sz w:val="14"/>
        </w:rPr>
        <w:t>Water Resources and Hydraulic Engineering</w:t>
      </w:r>
      <w:r>
        <w:rPr>
          <w:rFonts w:ascii="Arial"/>
          <w:sz w:val="14"/>
        </w:rPr>
        <w:t>. He has authored 8 books in the subject of water resources engineering</w:t>
      </w:r>
      <w:r w:rsidR="00703868">
        <w:rPr>
          <w:rFonts w:ascii="Arial"/>
          <w:sz w:val="14"/>
        </w:rPr>
        <w:t xml:space="preserve"> and published more than 200 papers in the international journals and conferences</w:t>
      </w:r>
      <w:r>
        <w:rPr>
          <w:rFonts w:ascii="Arial"/>
          <w:sz w:val="14"/>
        </w:rPr>
        <w:t xml:space="preserve">. He has worked in the water resources </w:t>
      </w:r>
      <w:r w:rsidR="00937F8A">
        <w:rPr>
          <w:rFonts w:ascii="Arial"/>
          <w:sz w:val="14"/>
        </w:rPr>
        <w:t xml:space="preserve">engineering </w:t>
      </w:r>
      <w:r>
        <w:rPr>
          <w:rFonts w:ascii="Arial"/>
          <w:sz w:val="14"/>
        </w:rPr>
        <w:t xml:space="preserve">departments </w:t>
      </w:r>
      <w:r w:rsidR="00703868">
        <w:rPr>
          <w:rFonts w:ascii="Arial"/>
          <w:sz w:val="14"/>
        </w:rPr>
        <w:t>over a decade gaining unique experience in the planning, design, construction and management of water resources projects. Since 1993 he is working as professor</w:t>
      </w:r>
      <w:r w:rsidR="00937F8A">
        <w:rPr>
          <w:rFonts w:ascii="Arial"/>
          <w:sz w:val="14"/>
        </w:rPr>
        <w:t>,</w:t>
      </w:r>
      <w:r w:rsidR="00703868">
        <w:rPr>
          <w:rFonts w:ascii="Arial"/>
          <w:sz w:val="14"/>
        </w:rPr>
        <w:t xml:space="preserve"> gaining </w:t>
      </w:r>
      <w:r>
        <w:rPr>
          <w:rFonts w:ascii="Arial"/>
          <w:sz w:val="14"/>
        </w:rPr>
        <w:t xml:space="preserve">experience in research, evaluation, teaching and </w:t>
      </w:r>
      <w:r w:rsidR="00937F8A">
        <w:rPr>
          <w:rFonts w:ascii="Arial"/>
          <w:sz w:val="14"/>
        </w:rPr>
        <w:t>administration.</w:t>
      </w:r>
    </w:p>
    <w:p w:rsidR="00AE3E37" w:rsidRDefault="00A9710C">
      <w:pPr>
        <w:spacing w:before="62"/>
        <w:ind w:left="4217" w:right="4235"/>
        <w:jc w:val="center"/>
        <w:rPr>
          <w:rFonts w:ascii="Arial"/>
          <w:sz w:val="14"/>
        </w:rPr>
      </w:pPr>
      <w:r>
        <w:rPr>
          <w:rFonts w:ascii="Arial"/>
          <w:sz w:val="14"/>
        </w:rPr>
        <w:t xml:space="preserve">Email: </w:t>
      </w:r>
      <w:hyperlink r:id="rId12" w:history="1">
        <w:r w:rsidR="005C1B54" w:rsidRPr="00E57CF9">
          <w:rPr>
            <w:rStyle w:val="Hyperlink"/>
            <w:rFonts w:ascii="Arial"/>
            <w:sz w:val="14"/>
          </w:rPr>
          <w:t>prof_kcpatra@yahoo.com</w:t>
        </w:r>
      </w:hyperlink>
      <w:r w:rsidR="00703868">
        <w:rPr>
          <w:rFonts w:ascii="Arial"/>
          <w:sz w:val="14"/>
        </w:rPr>
        <w:t xml:space="preserve">  </w:t>
      </w:r>
      <w:hyperlink r:id="rId13" w:history="1">
        <w:r w:rsidR="00703868" w:rsidRPr="00E57CF9">
          <w:rPr>
            <w:rStyle w:val="Hyperlink"/>
            <w:rFonts w:ascii="Arial"/>
            <w:sz w:val="14"/>
          </w:rPr>
          <w:t>kcpatra@nitrkl.ac.in</w:t>
        </w:r>
      </w:hyperlink>
    </w:p>
    <w:p w:rsidR="00703868" w:rsidRDefault="00703868">
      <w:pPr>
        <w:spacing w:before="62"/>
        <w:ind w:left="4217" w:right="4235"/>
        <w:jc w:val="center"/>
        <w:rPr>
          <w:rFonts w:ascii="Arial"/>
          <w:sz w:val="14"/>
        </w:rPr>
      </w:pP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192" w:rsidRDefault="00577192">
      <w:r>
        <w:separator/>
      </w:r>
    </w:p>
  </w:endnote>
  <w:endnote w:type="continuationSeparator" w:id="0">
    <w:p w:rsidR="00577192" w:rsidRDefault="00577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192" w:rsidRDefault="00577192">
      <w:r>
        <w:separator/>
      </w:r>
    </w:p>
  </w:footnote>
  <w:footnote w:type="continuationSeparator" w:id="0">
    <w:p w:rsidR="00577192" w:rsidRDefault="005771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72259"/>
    <w:multiLevelType w:val="hybridMultilevel"/>
    <w:tmpl w:val="747E89E8"/>
    <w:lvl w:ilvl="0" w:tplc="19985C86">
      <w:start w:val="1"/>
      <w:numFmt w:val="decimal"/>
      <w:lvlText w:val="%1."/>
      <w:lvlJc w:val="left"/>
      <w:pPr>
        <w:ind w:left="360" w:hanging="360"/>
      </w:pPr>
      <w:rPr>
        <w:rFonts w:ascii="Times New Roman" w:hAnsi="Times New Roman" w:cs="Times New Roman" w:hint="default"/>
        <w:b w:val="0"/>
        <w:i w:val="0"/>
        <w:color w:val="auto"/>
        <w:sz w:val="2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45E4"/>
    <w:rsid w:val="001263DF"/>
    <w:rsid w:val="00164789"/>
    <w:rsid w:val="00292ED9"/>
    <w:rsid w:val="00334046"/>
    <w:rsid w:val="00404E5B"/>
    <w:rsid w:val="00414F7B"/>
    <w:rsid w:val="004355DC"/>
    <w:rsid w:val="004749B4"/>
    <w:rsid w:val="00494130"/>
    <w:rsid w:val="004F3523"/>
    <w:rsid w:val="00577192"/>
    <w:rsid w:val="005973B9"/>
    <w:rsid w:val="005B3A56"/>
    <w:rsid w:val="005C1B54"/>
    <w:rsid w:val="006060CE"/>
    <w:rsid w:val="0063497F"/>
    <w:rsid w:val="00703868"/>
    <w:rsid w:val="00772CB2"/>
    <w:rsid w:val="00800297"/>
    <w:rsid w:val="00873DF0"/>
    <w:rsid w:val="008756E6"/>
    <w:rsid w:val="00937F8A"/>
    <w:rsid w:val="009B2D44"/>
    <w:rsid w:val="00A07E82"/>
    <w:rsid w:val="00A9710C"/>
    <w:rsid w:val="00AE3E37"/>
    <w:rsid w:val="00B21A57"/>
    <w:rsid w:val="00C33602"/>
    <w:rsid w:val="00CD6F55"/>
    <w:rsid w:val="00DE3104"/>
    <w:rsid w:val="00F200E7"/>
    <w:rsid w:val="00F72EEA"/>
    <w:rsid w:val="00F84CAE"/>
    <w:rsid w:val="00FD72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csmbodytext">
    <w:name w:val="icsm_bodytext"/>
    <w:basedOn w:val="Normal"/>
    <w:rsid w:val="005C1B54"/>
    <w:pPr>
      <w:widowControl/>
      <w:ind w:firstLine="240"/>
      <w:jc w:val="both"/>
    </w:pPr>
    <w:rPr>
      <w:rFonts w:ascii="Times New Roman" w:eastAsia="Times New Roman" w:hAnsi="Times New Roman" w:cs="Times New Roman"/>
      <w:sz w:val="20"/>
      <w:szCs w:val="20"/>
      <w:lang w:val="en-GB" w:eastAsia="en-IN"/>
    </w:rPr>
  </w:style>
  <w:style w:type="character" w:styleId="Strong">
    <w:name w:val="Strong"/>
    <w:basedOn w:val="DefaultParagraphFont"/>
    <w:uiPriority w:val="22"/>
    <w:qFormat/>
    <w:rsid w:val="00800297"/>
    <w:rPr>
      <w:rFonts w:cs="Times New Roman"/>
      <w:b/>
      <w:bCs/>
    </w:rPr>
  </w:style>
  <w:style w:type="character" w:customStyle="1" w:styleId="ListParagraphChar">
    <w:name w:val="List Paragraph Char"/>
    <w:link w:val="ListParagraph"/>
    <w:rsid w:val="00800297"/>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link w:val="ListParagraphChar"/>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csmbodytext">
    <w:name w:val="icsm_bodytext"/>
    <w:basedOn w:val="Normal"/>
    <w:rsid w:val="005C1B54"/>
    <w:pPr>
      <w:widowControl/>
      <w:ind w:firstLine="240"/>
      <w:jc w:val="both"/>
    </w:pPr>
    <w:rPr>
      <w:rFonts w:ascii="Times New Roman" w:eastAsia="Times New Roman" w:hAnsi="Times New Roman" w:cs="Times New Roman"/>
      <w:sz w:val="20"/>
      <w:szCs w:val="20"/>
      <w:lang w:val="en-GB" w:eastAsia="en-IN"/>
    </w:rPr>
  </w:style>
  <w:style w:type="character" w:styleId="Strong">
    <w:name w:val="Strong"/>
    <w:basedOn w:val="DefaultParagraphFont"/>
    <w:uiPriority w:val="22"/>
    <w:qFormat/>
    <w:rsid w:val="00800297"/>
    <w:rPr>
      <w:rFonts w:cs="Times New Roman"/>
      <w:b/>
      <w:bCs/>
    </w:rPr>
  </w:style>
  <w:style w:type="character" w:customStyle="1" w:styleId="ListParagraphChar">
    <w:name w:val="List Paragraph Char"/>
    <w:link w:val="ListParagraph"/>
    <w:rsid w:val="0080029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cpatra@nitrkl.ac.i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prof_kcpatr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x.doi.org/10.1080/09715010.2013.85747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1080/09715010.2013.78771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1014</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k.c patra</cp:lastModifiedBy>
  <cp:revision>3</cp:revision>
  <dcterms:created xsi:type="dcterms:W3CDTF">2017-06-07T11:46:00Z</dcterms:created>
  <dcterms:modified xsi:type="dcterms:W3CDTF">2017-06-08T06:38:00Z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