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1B54" w:rsidRPr="005C1B54" w:rsidRDefault="005C1B54" w:rsidP="005C1B54">
      <w:pPr>
        <w:pStyle w:val="icsmbodytext"/>
        <w:ind w:right="-154" w:firstLine="0"/>
        <w:jc w:val="center"/>
        <w:rPr>
          <w:rFonts w:ascii="Minion Pro" w:eastAsia="Minion Pro" w:hAnsi="Minion Pro" w:cs="Minion Pro"/>
          <w:b/>
          <w:bCs/>
          <w:color w:val="337AB7"/>
          <w:sz w:val="36"/>
          <w:szCs w:val="36"/>
          <w:lang w:val="en-US" w:eastAsia="en-US"/>
        </w:rPr>
      </w:pPr>
      <w:r w:rsidRPr="005C1B54">
        <w:rPr>
          <w:rFonts w:ascii="Minion Pro" w:eastAsia="Minion Pro" w:hAnsi="Minion Pro" w:cs="Minion Pro"/>
          <w:b/>
          <w:bCs/>
          <w:color w:val="337AB7"/>
          <w:sz w:val="36"/>
          <w:szCs w:val="36"/>
          <w:lang w:val="en-US" w:eastAsia="en-US"/>
        </w:rPr>
        <w:t>Evaluation of Statistical Downscaling Methodologies for Indian River Basin</w:t>
      </w:r>
    </w:p>
    <w:p w:rsidR="005C1B54" w:rsidRPr="005C1B54" w:rsidRDefault="005C1B54" w:rsidP="005C1B54">
      <w:pPr>
        <w:rPr>
          <w:rFonts w:ascii="Arial"/>
          <w:sz w:val="18"/>
          <w:szCs w:val="18"/>
        </w:rPr>
      </w:pPr>
      <w:r>
        <w:rPr>
          <w:rFonts w:ascii="Arial"/>
          <w:sz w:val="18"/>
          <w:szCs w:val="18"/>
        </w:rPr>
        <w:t xml:space="preserve">   </w:t>
      </w:r>
      <w:proofErr w:type="spellStart"/>
      <w:r w:rsidRPr="005C1B54">
        <w:rPr>
          <w:rFonts w:ascii="Arial"/>
          <w:sz w:val="18"/>
          <w:szCs w:val="18"/>
        </w:rPr>
        <w:t>Kanhu</w:t>
      </w:r>
      <w:proofErr w:type="spellEnd"/>
      <w:r w:rsidRPr="005C1B54">
        <w:rPr>
          <w:rFonts w:ascii="Arial"/>
          <w:sz w:val="18"/>
          <w:szCs w:val="18"/>
        </w:rPr>
        <w:t xml:space="preserve"> </w:t>
      </w:r>
      <w:proofErr w:type="spellStart"/>
      <w:r w:rsidRPr="005C1B54">
        <w:rPr>
          <w:rFonts w:ascii="Arial"/>
          <w:sz w:val="18"/>
          <w:szCs w:val="18"/>
        </w:rPr>
        <w:t>Charan</w:t>
      </w:r>
      <w:proofErr w:type="spellEnd"/>
      <w:r w:rsidRPr="005C1B54">
        <w:rPr>
          <w:rFonts w:ascii="Arial"/>
          <w:sz w:val="18"/>
          <w:szCs w:val="18"/>
        </w:rPr>
        <w:t xml:space="preserve"> Patra</w:t>
      </w:r>
      <w:r>
        <w:rPr>
          <w:rFonts w:ascii="Arial"/>
          <w:sz w:val="18"/>
          <w:szCs w:val="18"/>
        </w:rPr>
        <w:t>, PhD Professor, NIT Rourkela, India</w:t>
      </w:r>
    </w:p>
    <w:p w:rsidR="005973B9" w:rsidRDefault="005C1B54" w:rsidP="005973B9">
      <w:pPr>
        <w:pStyle w:val="BodyText"/>
        <w:spacing w:before="73" w:line="198" w:lineRule="exact"/>
        <w:ind w:left="100" w:right="5987"/>
        <w:rPr>
          <w:rFonts w:ascii="Arial"/>
        </w:rPr>
      </w:pPr>
      <w:r>
        <w:rPr>
          <w:rFonts w:ascii="Arial"/>
        </w:rPr>
        <w:t xml:space="preserve"> </w:t>
      </w:r>
      <w:proofErr w:type="spellStart"/>
      <w:r w:rsidRPr="005C1B54">
        <w:rPr>
          <w:rFonts w:ascii="Arial"/>
        </w:rPr>
        <w:t>Prayas</w:t>
      </w:r>
      <w:proofErr w:type="spellEnd"/>
      <w:r w:rsidRPr="005C1B54">
        <w:rPr>
          <w:rFonts w:ascii="Arial"/>
        </w:rPr>
        <w:t xml:space="preserve"> </w:t>
      </w:r>
      <w:proofErr w:type="spellStart"/>
      <w:r w:rsidRPr="005C1B54">
        <w:rPr>
          <w:rFonts w:ascii="Arial"/>
        </w:rPr>
        <w:t>Rath</w:t>
      </w:r>
      <w:proofErr w:type="spellEnd"/>
      <w:r w:rsidR="005973B9">
        <w:rPr>
          <w:rFonts w:ascii="Arial"/>
        </w:rPr>
        <w:t xml:space="preserve"> </w:t>
      </w:r>
      <w:r>
        <w:rPr>
          <w:rFonts w:ascii="Arial"/>
        </w:rPr>
        <w:t>Research Scholar</w:t>
      </w:r>
      <w:r w:rsidR="005973B9">
        <w:rPr>
          <w:rFonts w:ascii="Arial"/>
        </w:rPr>
        <w:t xml:space="preserve">, </w:t>
      </w:r>
      <w:r>
        <w:rPr>
          <w:rFonts w:ascii="Arial"/>
        </w:rPr>
        <w:t>NIT Rourkela, India</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bookmarkStart w:id="0" w:name="_GoBack"/>
      <w:bookmarkEnd w:id="0"/>
    </w:p>
    <w:p w:rsidR="005C1B54" w:rsidRDefault="00A9710C" w:rsidP="005C1B54">
      <w:pPr>
        <w:jc w:val="both"/>
        <w:rPr>
          <w:rFonts w:ascii="Times New Roman" w:hAnsi="Times New Roman"/>
        </w:rPr>
      </w:pPr>
      <w:r>
        <w:t xml:space="preserve">Statement of the Problem: </w:t>
      </w:r>
      <w:r w:rsidR="005C1B54" w:rsidRPr="005C1B54">
        <w:rPr>
          <w:sz w:val="18"/>
          <w:szCs w:val="18"/>
        </w:rPr>
        <w:t xml:space="preserve">Statistical downscaling has become a convenient tool to bridge the gap between the scales of the outputs of GCM and the weather parameters needed for hydrologic analysis. Over the years many innovative methodologies have been developed and tested for the statistical downscaling to assess the impact of climate change on the hydrologic processes. In this study, three different methods of downscaling are studied for the </w:t>
      </w:r>
      <w:proofErr w:type="spellStart"/>
      <w:r w:rsidR="005C1B54" w:rsidRPr="005C1B54">
        <w:rPr>
          <w:sz w:val="18"/>
          <w:szCs w:val="18"/>
        </w:rPr>
        <w:t>Brahmani</w:t>
      </w:r>
      <w:proofErr w:type="spellEnd"/>
      <w:r w:rsidR="005C1B54" w:rsidRPr="005C1B54">
        <w:rPr>
          <w:sz w:val="18"/>
          <w:szCs w:val="18"/>
        </w:rPr>
        <w:t xml:space="preserve">-Baitarani river basin for the Indian catchments: classification using KNN, regression using multi-linear regression and change factor using Delta method. The comparison is based on 3 GCMs from the phase 5 of Coupled Model Inter-comparison (CMIP 5) and for the RCP 8.5 scenario. The observed data is taken from four meteorological stations spread over the basin. Various performance evaluation tests like coefficient of determination (R2), normalized mean square error (NMSE), Nash-Sutcliffe Efficiency (NSE) and percentage bias (PBIAS) are implemented to evaluate the different methods. Kolmogorov Smirnov (KS) test is applied to the three different methods so that comparison can be done of the distributions of the modelled values to the distribution of the observed data sets. Each method has its own set of virtues and vices. All the three methods are able to capture the pattern of monthly rainfall adequately. </w:t>
      </w:r>
    </w:p>
    <w:p w:rsidR="005973B9" w:rsidRDefault="005973B9" w:rsidP="005973B9">
      <w:pPr>
        <w:spacing w:line="204" w:lineRule="exact"/>
        <w:rPr>
          <w:rFonts w:ascii="Arial"/>
          <w:b/>
          <w:sz w:val="20"/>
        </w:rPr>
      </w:pPr>
      <w:r>
        <w:rPr>
          <w:rFonts w:ascii="Arial"/>
          <w:b/>
          <w:color w:val="BF5A14"/>
          <w:sz w:val="20"/>
        </w:rPr>
        <w:br/>
        <w:t>Recent Publications (minimum 5)</w:t>
      </w:r>
    </w:p>
    <w:p w:rsidR="00800297" w:rsidRPr="00FD72EC" w:rsidRDefault="00800297" w:rsidP="00800297">
      <w:pPr>
        <w:pStyle w:val="ListParagraph"/>
        <w:widowControl/>
        <w:numPr>
          <w:ilvl w:val="0"/>
          <w:numId w:val="4"/>
        </w:numPr>
        <w:spacing w:before="0" w:line="240" w:lineRule="auto"/>
        <w:rPr>
          <w:rFonts w:eastAsia="Tw Cen MT" w:cs="Tw Cen MT"/>
          <w:sz w:val="16"/>
          <w:szCs w:val="18"/>
        </w:rPr>
      </w:pPr>
      <w:r w:rsidRPr="00FD72EC">
        <w:rPr>
          <w:rFonts w:eastAsia="Tw Cen MT" w:cs="Tw Cen MT"/>
          <w:sz w:val="16"/>
          <w:szCs w:val="18"/>
        </w:rPr>
        <w:t>Swain J B, Patra K C (2016), “Streamflow estimation in ungauged catchments using regional flow duration curve: A comparative study”, Journal of Hydrologic Engineering, ASCE, DOI: 10.1061/ (ASCE) HE.1943-5584.0001509.</w:t>
      </w:r>
    </w:p>
    <w:p w:rsidR="00800297" w:rsidRPr="00800297" w:rsidRDefault="00800297" w:rsidP="00800297">
      <w:pPr>
        <w:jc w:val="both"/>
        <w:rPr>
          <w:rFonts w:ascii="Calibri" w:hAnsi="Calibri"/>
          <w:sz w:val="2"/>
          <w:szCs w:val="18"/>
        </w:rPr>
      </w:pPr>
    </w:p>
    <w:p w:rsidR="00800297" w:rsidRPr="00FD72EC" w:rsidRDefault="00800297" w:rsidP="00800297">
      <w:pPr>
        <w:pStyle w:val="ListParagraph"/>
        <w:widowControl/>
        <w:numPr>
          <w:ilvl w:val="0"/>
          <w:numId w:val="4"/>
        </w:numPr>
        <w:spacing w:before="0" w:line="240" w:lineRule="auto"/>
        <w:rPr>
          <w:rFonts w:eastAsia="Tw Cen MT" w:cs="Tw Cen MT"/>
          <w:sz w:val="16"/>
          <w:szCs w:val="18"/>
        </w:rPr>
      </w:pPr>
      <w:r w:rsidRPr="00FD72EC">
        <w:rPr>
          <w:rFonts w:eastAsia="Tw Cen MT" w:cs="Tw Cen MT"/>
          <w:sz w:val="16"/>
          <w:szCs w:val="18"/>
        </w:rPr>
        <w:t>Kumar B, Patra K C, Lakshmi V (2017), “Evaluating SWAT model outputs uncertainty due DEM resolution and resampling techniques in a large Himalayan River Basin” Journal of Hydrology Engineering,  (ASCE) Accepted (Impact factor of 1.56)</w:t>
      </w:r>
    </w:p>
    <w:p w:rsidR="00800297" w:rsidRPr="00FD72EC" w:rsidRDefault="00800297" w:rsidP="00800297">
      <w:pPr>
        <w:rPr>
          <w:rFonts w:ascii="Calibri" w:hAnsi="Calibri"/>
          <w:sz w:val="4"/>
          <w:szCs w:val="18"/>
        </w:rPr>
      </w:pPr>
    </w:p>
    <w:p w:rsidR="00800297" w:rsidRPr="00FD72EC" w:rsidRDefault="00800297" w:rsidP="00800297">
      <w:pPr>
        <w:widowControl/>
        <w:numPr>
          <w:ilvl w:val="0"/>
          <w:numId w:val="4"/>
        </w:numPr>
        <w:ind w:right="-115"/>
        <w:jc w:val="both"/>
        <w:rPr>
          <w:rFonts w:ascii="Calibri" w:hAnsi="Calibri"/>
          <w:sz w:val="16"/>
          <w:szCs w:val="18"/>
        </w:rPr>
      </w:pPr>
      <w:r w:rsidRPr="00FD72EC">
        <w:rPr>
          <w:rFonts w:ascii="Calibri" w:hAnsi="Calibri"/>
          <w:sz w:val="16"/>
          <w:szCs w:val="18"/>
        </w:rPr>
        <w:t xml:space="preserve">Swain J B, </w:t>
      </w:r>
      <w:proofErr w:type="spellStart"/>
      <w:r w:rsidRPr="00FD72EC">
        <w:rPr>
          <w:rFonts w:ascii="Calibri" w:hAnsi="Calibri"/>
          <w:sz w:val="16"/>
          <w:szCs w:val="18"/>
        </w:rPr>
        <w:t>Sahoo</w:t>
      </w:r>
      <w:proofErr w:type="spellEnd"/>
      <w:r w:rsidRPr="00FD72EC">
        <w:rPr>
          <w:rFonts w:ascii="Calibri" w:hAnsi="Calibri"/>
          <w:sz w:val="16"/>
          <w:szCs w:val="18"/>
        </w:rPr>
        <w:t xml:space="preserve"> M </w:t>
      </w:r>
      <w:proofErr w:type="spellStart"/>
      <w:r w:rsidRPr="00FD72EC">
        <w:rPr>
          <w:rFonts w:ascii="Calibri" w:hAnsi="Calibri"/>
          <w:sz w:val="16"/>
          <w:szCs w:val="18"/>
        </w:rPr>
        <w:t>M</w:t>
      </w:r>
      <w:proofErr w:type="spellEnd"/>
      <w:r w:rsidRPr="00FD72EC">
        <w:rPr>
          <w:rFonts w:ascii="Calibri" w:hAnsi="Calibri"/>
          <w:sz w:val="16"/>
          <w:szCs w:val="18"/>
        </w:rPr>
        <w:t xml:space="preserve">, Patra K C (2016), “Homogeneous region determination using linear and nonlinear techniques”, Physical Geography, Taylor and Francis, vol. 37 (5), 361-384. </w:t>
      </w:r>
    </w:p>
    <w:p w:rsidR="00800297" w:rsidRPr="00FD72EC" w:rsidRDefault="00800297" w:rsidP="00800297">
      <w:pPr>
        <w:pStyle w:val="ListParagraph"/>
        <w:widowControl/>
        <w:numPr>
          <w:ilvl w:val="0"/>
          <w:numId w:val="4"/>
        </w:numPr>
        <w:spacing w:before="0" w:line="240" w:lineRule="auto"/>
        <w:rPr>
          <w:rFonts w:eastAsia="Tw Cen MT" w:cs="Tw Cen MT"/>
          <w:sz w:val="16"/>
          <w:szCs w:val="18"/>
        </w:rPr>
      </w:pPr>
      <w:r w:rsidRPr="00FD72EC">
        <w:rPr>
          <w:rFonts w:eastAsia="Tw Cen MT" w:cs="Tw Cen MT"/>
          <w:sz w:val="16"/>
          <w:szCs w:val="18"/>
        </w:rPr>
        <w:t xml:space="preserve">Kumar B, Patra K C, Lakshmi V, (2016), “Daily Rainfall Statistics of TRMM and CMORPH: A Case for Trans-boundary </w:t>
      </w:r>
      <w:proofErr w:type="spellStart"/>
      <w:r w:rsidRPr="00FD72EC">
        <w:rPr>
          <w:rFonts w:eastAsia="Tw Cen MT" w:cs="Tw Cen MT"/>
          <w:sz w:val="16"/>
          <w:szCs w:val="18"/>
        </w:rPr>
        <w:t>Gandak</w:t>
      </w:r>
      <w:proofErr w:type="spellEnd"/>
      <w:r w:rsidRPr="00FD72EC">
        <w:rPr>
          <w:rFonts w:eastAsia="Tw Cen MT" w:cs="Tw Cen MT"/>
          <w:sz w:val="16"/>
          <w:szCs w:val="18"/>
        </w:rPr>
        <w:t xml:space="preserve"> River Basin”, Journal of Earth System Sciences, Springer, Volume 125(5), pp 919–934. </w:t>
      </w:r>
    </w:p>
    <w:p w:rsidR="00800297" w:rsidRPr="00800297" w:rsidRDefault="00800297" w:rsidP="00800297">
      <w:pPr>
        <w:widowControl/>
        <w:spacing w:after="120"/>
        <w:ind w:left="360" w:right="-108"/>
        <w:jc w:val="both"/>
        <w:rPr>
          <w:rFonts w:ascii="Calibri" w:hAnsi="Calibri"/>
          <w:sz w:val="2"/>
          <w:szCs w:val="18"/>
        </w:rPr>
      </w:pPr>
    </w:p>
    <w:p w:rsidR="00800297" w:rsidRPr="00FD72EC" w:rsidRDefault="00800297" w:rsidP="00800297">
      <w:pPr>
        <w:widowControl/>
        <w:numPr>
          <w:ilvl w:val="0"/>
          <w:numId w:val="4"/>
        </w:numPr>
        <w:spacing w:after="120"/>
        <w:ind w:right="-108"/>
        <w:jc w:val="both"/>
        <w:rPr>
          <w:rFonts w:ascii="Calibri" w:hAnsi="Calibri"/>
          <w:sz w:val="16"/>
          <w:szCs w:val="18"/>
        </w:rPr>
      </w:pPr>
      <w:r w:rsidRPr="00FD72EC">
        <w:rPr>
          <w:rFonts w:ascii="Calibri" w:hAnsi="Calibri"/>
          <w:sz w:val="16"/>
          <w:szCs w:val="18"/>
        </w:rPr>
        <w:t xml:space="preserve">Kumar B, Patra K C, Lakshmi V, (2016), “Error in Digital Network and Basin Area Delineation Using D 8 Method- A Case Study in a sub basin of the Ganga”, Journal of Geological Society of India, Springer, 89(1) pp-65-70. </w:t>
      </w:r>
    </w:p>
    <w:p w:rsidR="00800297" w:rsidRPr="00FD72EC" w:rsidRDefault="00800297" w:rsidP="00800297">
      <w:pPr>
        <w:widowControl/>
        <w:numPr>
          <w:ilvl w:val="0"/>
          <w:numId w:val="4"/>
        </w:numPr>
        <w:spacing w:after="120"/>
        <w:ind w:right="-108"/>
        <w:jc w:val="both"/>
        <w:rPr>
          <w:rFonts w:ascii="Calibri" w:hAnsi="Calibri"/>
          <w:sz w:val="16"/>
          <w:szCs w:val="18"/>
        </w:rPr>
      </w:pPr>
      <w:proofErr w:type="spellStart"/>
      <w:r w:rsidRPr="00FD72EC">
        <w:rPr>
          <w:rFonts w:ascii="Calibri" w:hAnsi="Calibri"/>
          <w:sz w:val="16"/>
          <w:szCs w:val="18"/>
        </w:rPr>
        <w:t>Sahoo</w:t>
      </w:r>
      <w:proofErr w:type="spellEnd"/>
      <w:r w:rsidRPr="00FD72EC">
        <w:rPr>
          <w:rFonts w:ascii="Calibri" w:hAnsi="Calibri"/>
          <w:sz w:val="16"/>
          <w:szCs w:val="18"/>
        </w:rPr>
        <w:t xml:space="preserve"> M </w:t>
      </w:r>
      <w:proofErr w:type="spellStart"/>
      <w:r w:rsidRPr="00FD72EC">
        <w:rPr>
          <w:rFonts w:ascii="Calibri" w:hAnsi="Calibri"/>
          <w:sz w:val="16"/>
          <w:szCs w:val="18"/>
        </w:rPr>
        <w:t>M</w:t>
      </w:r>
      <w:proofErr w:type="spellEnd"/>
      <w:r w:rsidRPr="00FD72EC">
        <w:rPr>
          <w:rFonts w:ascii="Calibri" w:hAnsi="Calibri"/>
          <w:sz w:val="16"/>
          <w:szCs w:val="18"/>
        </w:rPr>
        <w:t xml:space="preserve">, Patra K C, Swain J B, (2016), “Application of </w:t>
      </w:r>
      <w:proofErr w:type="spellStart"/>
      <w:r w:rsidRPr="00FD72EC">
        <w:rPr>
          <w:rFonts w:ascii="Calibri" w:hAnsi="Calibri"/>
          <w:sz w:val="16"/>
          <w:szCs w:val="18"/>
        </w:rPr>
        <w:t>Baye’s</w:t>
      </w:r>
      <w:proofErr w:type="spellEnd"/>
      <w:r w:rsidRPr="00FD72EC">
        <w:rPr>
          <w:rFonts w:ascii="Calibri" w:hAnsi="Calibri"/>
          <w:sz w:val="16"/>
          <w:szCs w:val="18"/>
        </w:rPr>
        <w:t xml:space="preserve"> Bayes Rule and Entropy Weight Method for Water Quality Evaluation”, European Journal of Environ and Civil Engineering, Taylor and Francis, vol. 21, pp 1-23. </w:t>
      </w:r>
    </w:p>
    <w:p w:rsidR="00800297" w:rsidRPr="00FD72EC" w:rsidRDefault="00800297" w:rsidP="00800297">
      <w:pPr>
        <w:widowControl/>
        <w:numPr>
          <w:ilvl w:val="0"/>
          <w:numId w:val="4"/>
        </w:numPr>
        <w:spacing w:after="120"/>
        <w:ind w:right="-108"/>
        <w:jc w:val="both"/>
        <w:rPr>
          <w:rFonts w:ascii="Calibri" w:hAnsi="Calibri"/>
          <w:sz w:val="16"/>
          <w:szCs w:val="18"/>
        </w:rPr>
      </w:pPr>
      <w:proofErr w:type="spellStart"/>
      <w:r w:rsidRPr="00FD72EC">
        <w:rPr>
          <w:rFonts w:ascii="Calibri" w:hAnsi="Calibri"/>
          <w:sz w:val="16"/>
          <w:szCs w:val="18"/>
        </w:rPr>
        <w:t>Khatua</w:t>
      </w:r>
      <w:proofErr w:type="spellEnd"/>
      <w:r w:rsidRPr="00FD72EC">
        <w:rPr>
          <w:rFonts w:ascii="Calibri" w:hAnsi="Calibri"/>
          <w:sz w:val="16"/>
          <w:szCs w:val="18"/>
        </w:rPr>
        <w:t xml:space="preserve"> K.K, Patra K C, </w:t>
      </w:r>
      <w:proofErr w:type="gramStart"/>
      <w:r w:rsidRPr="00FD72EC">
        <w:rPr>
          <w:rFonts w:ascii="Calibri" w:hAnsi="Calibri"/>
          <w:sz w:val="16"/>
          <w:szCs w:val="18"/>
        </w:rPr>
        <w:t xml:space="preserve">and  </w:t>
      </w:r>
      <w:proofErr w:type="spellStart"/>
      <w:r w:rsidRPr="00FD72EC">
        <w:rPr>
          <w:rFonts w:ascii="Calibri" w:hAnsi="Calibri"/>
          <w:sz w:val="16"/>
          <w:szCs w:val="18"/>
        </w:rPr>
        <w:t>Mohanty</w:t>
      </w:r>
      <w:proofErr w:type="spellEnd"/>
      <w:proofErr w:type="gramEnd"/>
      <w:r w:rsidRPr="00FD72EC">
        <w:rPr>
          <w:rFonts w:ascii="Calibri" w:hAnsi="Calibri"/>
          <w:sz w:val="16"/>
          <w:szCs w:val="18"/>
        </w:rPr>
        <w:t xml:space="preserve"> P K, (2012), “Stage-Discharge Prediction for Straight and Smooth Compound Channels with Wide Floodplains”, Journal of Hydraulic Engineering, </w:t>
      </w:r>
      <w:proofErr w:type="spellStart"/>
      <w:r w:rsidRPr="00FD72EC">
        <w:rPr>
          <w:rFonts w:ascii="Calibri" w:hAnsi="Calibri"/>
          <w:sz w:val="16"/>
          <w:szCs w:val="18"/>
        </w:rPr>
        <w:t>ASCE,Vol</w:t>
      </w:r>
      <w:proofErr w:type="spellEnd"/>
      <w:r w:rsidRPr="00FD72EC">
        <w:rPr>
          <w:rFonts w:ascii="Calibri" w:hAnsi="Calibri"/>
          <w:sz w:val="16"/>
          <w:szCs w:val="18"/>
        </w:rPr>
        <w:t xml:space="preserve">. 138,  No 1, pp 93-99. </w:t>
      </w:r>
    </w:p>
    <w:p w:rsidR="00800297" w:rsidRDefault="00800297" w:rsidP="00800297">
      <w:pPr>
        <w:widowControl/>
        <w:numPr>
          <w:ilvl w:val="0"/>
          <w:numId w:val="4"/>
        </w:numPr>
        <w:spacing w:after="120"/>
        <w:ind w:right="-108"/>
        <w:jc w:val="both"/>
        <w:rPr>
          <w:rFonts w:ascii="Calibri" w:hAnsi="Calibri"/>
          <w:sz w:val="16"/>
          <w:szCs w:val="18"/>
        </w:rPr>
      </w:pPr>
      <w:r w:rsidRPr="00FD72EC">
        <w:rPr>
          <w:rFonts w:ascii="Calibri" w:hAnsi="Calibri"/>
          <w:sz w:val="16"/>
          <w:szCs w:val="18"/>
        </w:rPr>
        <w:t xml:space="preserve">Patra K.C. and </w:t>
      </w:r>
      <w:proofErr w:type="spellStart"/>
      <w:r w:rsidRPr="00FD72EC">
        <w:rPr>
          <w:rFonts w:ascii="Calibri" w:hAnsi="Calibri"/>
          <w:sz w:val="16"/>
          <w:szCs w:val="18"/>
        </w:rPr>
        <w:t>Kar</w:t>
      </w:r>
      <w:proofErr w:type="spellEnd"/>
      <w:r w:rsidRPr="00FD72EC">
        <w:rPr>
          <w:rFonts w:ascii="Calibri" w:hAnsi="Calibri"/>
          <w:sz w:val="16"/>
          <w:szCs w:val="18"/>
        </w:rPr>
        <w:t xml:space="preserve"> S.K, (2005), “Flow and Velocity Distribution in Meandering Rivers with Floodplains”, Journal of Hydraulic Engineering, ASCE, Vol.130, No. 5, Paper No. 22343 HY, pp. 398-411. </w:t>
      </w:r>
    </w:p>
    <w:p w:rsidR="00800297" w:rsidRPr="00FD72EC" w:rsidRDefault="00800297" w:rsidP="00800297">
      <w:pPr>
        <w:widowControl/>
        <w:numPr>
          <w:ilvl w:val="0"/>
          <w:numId w:val="4"/>
        </w:numPr>
        <w:spacing w:after="120"/>
        <w:jc w:val="both"/>
        <w:rPr>
          <w:rFonts w:ascii="Calibri" w:hAnsi="Calibri"/>
          <w:sz w:val="16"/>
          <w:szCs w:val="18"/>
        </w:rPr>
      </w:pPr>
      <w:r w:rsidRPr="00FD72EC">
        <w:rPr>
          <w:rFonts w:ascii="Calibri" w:hAnsi="Calibri"/>
          <w:sz w:val="16"/>
          <w:szCs w:val="18"/>
        </w:rPr>
        <w:lastRenderedPageBreak/>
        <w:t xml:space="preserve">Patra K.C. and </w:t>
      </w:r>
      <w:proofErr w:type="spellStart"/>
      <w:r w:rsidRPr="00FD72EC">
        <w:rPr>
          <w:rFonts w:ascii="Calibri" w:hAnsi="Calibri"/>
          <w:sz w:val="16"/>
          <w:szCs w:val="18"/>
        </w:rPr>
        <w:t>Kar</w:t>
      </w:r>
      <w:proofErr w:type="spellEnd"/>
      <w:r w:rsidRPr="00FD72EC">
        <w:rPr>
          <w:rFonts w:ascii="Calibri" w:hAnsi="Calibri"/>
          <w:sz w:val="16"/>
          <w:szCs w:val="18"/>
        </w:rPr>
        <w:t xml:space="preserve"> S.K, (2000), “Flow Interaction of Meandering River with Floodplains”, Journal of Hydraulic Engineering, </w:t>
      </w:r>
      <w:proofErr w:type="spellStart"/>
      <w:r w:rsidRPr="00FD72EC">
        <w:rPr>
          <w:rFonts w:ascii="Calibri" w:hAnsi="Calibri"/>
          <w:sz w:val="16"/>
          <w:szCs w:val="18"/>
        </w:rPr>
        <w:t>ASCE.Vol</w:t>
      </w:r>
      <w:proofErr w:type="spellEnd"/>
      <w:r w:rsidRPr="00FD72EC">
        <w:rPr>
          <w:rFonts w:ascii="Calibri" w:hAnsi="Calibri"/>
          <w:sz w:val="16"/>
          <w:szCs w:val="18"/>
        </w:rPr>
        <w:t xml:space="preserve">. 126, 0.8, Paper No. 19137 HY, pp. 593 – 604. (SCI Impact Factor of 1.258. Cited by 54) </w:t>
      </w:r>
    </w:p>
    <w:p w:rsidR="00800297" w:rsidRPr="00FD72EC" w:rsidRDefault="00800297" w:rsidP="00800297">
      <w:pPr>
        <w:pStyle w:val="ListParagraph"/>
        <w:widowControl/>
        <w:numPr>
          <w:ilvl w:val="0"/>
          <w:numId w:val="4"/>
        </w:numPr>
        <w:spacing w:before="0" w:line="240" w:lineRule="auto"/>
        <w:rPr>
          <w:rFonts w:eastAsia="Tw Cen MT" w:cs="Tw Cen MT"/>
          <w:sz w:val="16"/>
          <w:szCs w:val="18"/>
        </w:rPr>
      </w:pPr>
      <w:r w:rsidRPr="00FD72EC">
        <w:rPr>
          <w:rFonts w:eastAsia="Tw Cen MT" w:cs="Tw Cen MT"/>
          <w:sz w:val="16"/>
          <w:szCs w:val="18"/>
        </w:rPr>
        <w:t xml:space="preserve">Kumar B, </w:t>
      </w:r>
      <w:proofErr w:type="spellStart"/>
      <w:r w:rsidRPr="00FD72EC">
        <w:rPr>
          <w:rFonts w:eastAsia="Tw Cen MT" w:cs="Tw Cen MT"/>
          <w:sz w:val="16"/>
          <w:szCs w:val="18"/>
        </w:rPr>
        <w:t>Chandola</w:t>
      </w:r>
      <w:proofErr w:type="spellEnd"/>
      <w:r w:rsidRPr="00FD72EC">
        <w:rPr>
          <w:rFonts w:eastAsia="Tw Cen MT" w:cs="Tw Cen MT"/>
          <w:sz w:val="16"/>
          <w:szCs w:val="18"/>
        </w:rPr>
        <w:t xml:space="preserve"> B K, Mohan D, Patra K C, (2016), “A way to identify groundwater potential zones (GWPZs) in rocky terrains (India)”, Ecology Environment and Conservation, 22(3), pp 1237-1244. (Scopus)</w:t>
      </w:r>
    </w:p>
    <w:p w:rsidR="00800297" w:rsidRPr="00FD72EC" w:rsidRDefault="00800297" w:rsidP="00800297">
      <w:pPr>
        <w:widowControl/>
        <w:numPr>
          <w:ilvl w:val="0"/>
          <w:numId w:val="4"/>
        </w:numPr>
        <w:spacing w:after="120"/>
        <w:jc w:val="both"/>
        <w:rPr>
          <w:rFonts w:ascii="Calibri" w:hAnsi="Calibri"/>
          <w:sz w:val="16"/>
          <w:szCs w:val="18"/>
        </w:rPr>
      </w:pPr>
      <w:proofErr w:type="spellStart"/>
      <w:r w:rsidRPr="00FD72EC">
        <w:rPr>
          <w:rFonts w:ascii="Calibri" w:hAnsi="Calibri"/>
          <w:sz w:val="16"/>
          <w:szCs w:val="18"/>
        </w:rPr>
        <w:t>Mohanta</w:t>
      </w:r>
      <w:proofErr w:type="spellEnd"/>
      <w:r w:rsidRPr="00FD72EC">
        <w:rPr>
          <w:rFonts w:ascii="Calibri" w:hAnsi="Calibri"/>
          <w:sz w:val="16"/>
          <w:szCs w:val="18"/>
        </w:rPr>
        <w:t xml:space="preserve"> A, </w:t>
      </w:r>
      <w:proofErr w:type="spellStart"/>
      <w:r w:rsidRPr="00FD72EC">
        <w:rPr>
          <w:rFonts w:ascii="Calibri" w:hAnsi="Calibri"/>
          <w:sz w:val="16"/>
          <w:szCs w:val="18"/>
        </w:rPr>
        <w:t>Khatua</w:t>
      </w:r>
      <w:proofErr w:type="spellEnd"/>
      <w:r w:rsidRPr="00FD72EC">
        <w:rPr>
          <w:rFonts w:ascii="Calibri" w:hAnsi="Calibri"/>
          <w:sz w:val="16"/>
          <w:szCs w:val="18"/>
        </w:rPr>
        <w:t xml:space="preserve"> K </w:t>
      </w:r>
      <w:proofErr w:type="spellStart"/>
      <w:r w:rsidRPr="00FD72EC">
        <w:rPr>
          <w:rFonts w:ascii="Calibri" w:hAnsi="Calibri"/>
          <w:sz w:val="16"/>
          <w:szCs w:val="18"/>
        </w:rPr>
        <w:t>K</w:t>
      </w:r>
      <w:proofErr w:type="spellEnd"/>
      <w:r w:rsidRPr="00FD72EC">
        <w:rPr>
          <w:rFonts w:ascii="Calibri" w:hAnsi="Calibri"/>
          <w:sz w:val="16"/>
          <w:szCs w:val="18"/>
        </w:rPr>
        <w:t>, and Patra K C, (2015), “Flow Modeling in Symmetrically Narrowing Flood Plains”, Elsevier Aquatic Procedia Vol. 4, pp 826-833.(Scopus)</w:t>
      </w:r>
    </w:p>
    <w:p w:rsidR="00800297" w:rsidRPr="00FD72EC" w:rsidRDefault="00800297" w:rsidP="00800297">
      <w:pPr>
        <w:widowControl/>
        <w:numPr>
          <w:ilvl w:val="0"/>
          <w:numId w:val="4"/>
        </w:numPr>
        <w:spacing w:after="120"/>
        <w:jc w:val="both"/>
        <w:rPr>
          <w:rFonts w:ascii="Calibri" w:hAnsi="Calibri"/>
          <w:sz w:val="16"/>
          <w:szCs w:val="18"/>
        </w:rPr>
      </w:pPr>
      <w:proofErr w:type="spellStart"/>
      <w:r w:rsidRPr="00FD72EC">
        <w:rPr>
          <w:rFonts w:ascii="Calibri" w:hAnsi="Calibri"/>
          <w:sz w:val="16"/>
          <w:szCs w:val="18"/>
        </w:rPr>
        <w:t>Palai</w:t>
      </w:r>
      <w:proofErr w:type="spellEnd"/>
      <w:r w:rsidRPr="00FD72EC">
        <w:rPr>
          <w:rFonts w:ascii="Calibri" w:hAnsi="Calibri"/>
          <w:sz w:val="16"/>
          <w:szCs w:val="18"/>
        </w:rPr>
        <w:t xml:space="preserve"> D P, Patra K C, and </w:t>
      </w:r>
      <w:proofErr w:type="spellStart"/>
      <w:r w:rsidRPr="00FD72EC">
        <w:rPr>
          <w:rFonts w:ascii="Calibri" w:hAnsi="Calibri"/>
          <w:sz w:val="16"/>
          <w:szCs w:val="18"/>
        </w:rPr>
        <w:t>Mohapatra</w:t>
      </w:r>
      <w:proofErr w:type="spellEnd"/>
      <w:r w:rsidRPr="00FD72EC">
        <w:rPr>
          <w:rFonts w:ascii="Calibri" w:hAnsi="Calibri"/>
          <w:sz w:val="16"/>
          <w:szCs w:val="18"/>
        </w:rPr>
        <w:t xml:space="preserve"> M R, (2015), “Numerical Analysis of Velocity Distribution in a Meandering Compound Channel”, IOSR Journal of Mechanical and Civil Engineering, e-ISSN: 2278-1684, p-ISSN: 2320-334X., pp 26-31. (Scopus)</w:t>
      </w:r>
    </w:p>
    <w:p w:rsidR="00800297" w:rsidRPr="00FD72EC" w:rsidRDefault="00800297" w:rsidP="00800297">
      <w:pPr>
        <w:pStyle w:val="ListParagraph"/>
        <w:widowControl/>
        <w:numPr>
          <w:ilvl w:val="0"/>
          <w:numId w:val="4"/>
        </w:numPr>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autoSpaceDE w:val="0"/>
        <w:spacing w:before="0" w:line="100" w:lineRule="atLeast"/>
        <w:rPr>
          <w:rFonts w:eastAsia="Tw Cen MT" w:cs="Tw Cen MT"/>
          <w:sz w:val="16"/>
          <w:szCs w:val="18"/>
        </w:rPr>
      </w:pPr>
      <w:proofErr w:type="spellStart"/>
      <w:r w:rsidRPr="00FD72EC">
        <w:rPr>
          <w:rFonts w:eastAsia="Tw Cen MT" w:cs="Tw Cen MT"/>
          <w:sz w:val="16"/>
          <w:szCs w:val="18"/>
        </w:rPr>
        <w:t>Sahoo</w:t>
      </w:r>
      <w:proofErr w:type="spellEnd"/>
      <w:r w:rsidRPr="00FD72EC">
        <w:rPr>
          <w:rFonts w:eastAsia="Tw Cen MT" w:cs="Tw Cen MT"/>
          <w:sz w:val="16"/>
          <w:szCs w:val="18"/>
        </w:rPr>
        <w:t xml:space="preserve"> M.M, and Patra K.C, (2013), “Spatial and Temporal Variation in Water Quality using MANOVA of River </w:t>
      </w:r>
      <w:proofErr w:type="spellStart"/>
      <w:r w:rsidRPr="00FD72EC">
        <w:rPr>
          <w:rFonts w:eastAsia="Tw Cen MT" w:cs="Tw Cen MT"/>
          <w:sz w:val="16"/>
          <w:szCs w:val="18"/>
        </w:rPr>
        <w:t>Brahmani</w:t>
      </w:r>
      <w:proofErr w:type="spellEnd"/>
      <w:r w:rsidRPr="00FD72EC">
        <w:rPr>
          <w:rFonts w:eastAsia="Tw Cen MT" w:cs="Tw Cen MT"/>
          <w:sz w:val="16"/>
          <w:szCs w:val="18"/>
        </w:rPr>
        <w:t xml:space="preserve"> at India”, </w:t>
      </w:r>
      <w:proofErr w:type="spellStart"/>
      <w:r w:rsidRPr="00FD72EC">
        <w:rPr>
          <w:rFonts w:eastAsia="Tw Cen MT" w:cs="Tw Cen MT"/>
          <w:sz w:val="16"/>
          <w:szCs w:val="18"/>
        </w:rPr>
        <w:t>Elsvier</w:t>
      </w:r>
      <w:proofErr w:type="spellEnd"/>
      <w:r w:rsidRPr="00FD72EC">
        <w:rPr>
          <w:rFonts w:eastAsia="Tw Cen MT" w:cs="Tw Cen MT"/>
          <w:sz w:val="16"/>
          <w:szCs w:val="18"/>
        </w:rPr>
        <w:t xml:space="preserve"> </w:t>
      </w:r>
      <w:proofErr w:type="spellStart"/>
      <w:r w:rsidRPr="00FD72EC">
        <w:rPr>
          <w:rFonts w:eastAsia="Tw Cen MT" w:cs="Tw Cen MT"/>
          <w:sz w:val="16"/>
          <w:szCs w:val="18"/>
        </w:rPr>
        <w:t>Proceedia</w:t>
      </w:r>
      <w:proofErr w:type="spellEnd"/>
      <w:r w:rsidRPr="00FD72EC">
        <w:rPr>
          <w:rFonts w:eastAsia="Tw Cen MT" w:cs="Tw Cen MT"/>
          <w:sz w:val="16"/>
          <w:szCs w:val="18"/>
        </w:rPr>
        <w:t xml:space="preserve"> Engineering, Vol. 3 (2), pp 6-10. (Scopus),</w:t>
      </w:r>
    </w:p>
    <w:p w:rsidR="00800297" w:rsidRPr="00FD72EC" w:rsidRDefault="00800297" w:rsidP="00800297">
      <w:pPr>
        <w:pStyle w:val="ListParagraph"/>
        <w:widowControl/>
        <w:numPr>
          <w:ilvl w:val="0"/>
          <w:numId w:val="4"/>
        </w:numPr>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autoSpaceDE w:val="0"/>
        <w:spacing w:before="0" w:line="100" w:lineRule="atLeast"/>
        <w:rPr>
          <w:rFonts w:eastAsia="Tw Cen MT" w:cs="Tw Cen MT"/>
          <w:sz w:val="16"/>
          <w:szCs w:val="18"/>
        </w:rPr>
      </w:pPr>
      <w:proofErr w:type="spellStart"/>
      <w:r w:rsidRPr="00FD72EC">
        <w:rPr>
          <w:rFonts w:eastAsia="Tw Cen MT" w:cs="Tw Cen MT"/>
          <w:sz w:val="16"/>
          <w:szCs w:val="18"/>
        </w:rPr>
        <w:t>Moharana</w:t>
      </w:r>
      <w:proofErr w:type="spellEnd"/>
      <w:r w:rsidRPr="00FD72EC">
        <w:rPr>
          <w:rFonts w:eastAsia="Tw Cen MT" w:cs="Tw Cen MT"/>
          <w:sz w:val="16"/>
          <w:szCs w:val="18"/>
        </w:rPr>
        <w:t xml:space="preserve">, S, </w:t>
      </w:r>
      <w:proofErr w:type="spellStart"/>
      <w:r w:rsidRPr="00FD72EC">
        <w:rPr>
          <w:rFonts w:eastAsia="Tw Cen MT" w:cs="Tw Cen MT"/>
          <w:sz w:val="16"/>
          <w:szCs w:val="18"/>
        </w:rPr>
        <w:t>Khatua</w:t>
      </w:r>
      <w:proofErr w:type="spellEnd"/>
      <w:r w:rsidRPr="00FD72EC">
        <w:rPr>
          <w:rFonts w:eastAsia="Tw Cen MT" w:cs="Tw Cen MT"/>
          <w:sz w:val="16"/>
          <w:szCs w:val="18"/>
        </w:rPr>
        <w:t xml:space="preserve">, K </w:t>
      </w:r>
      <w:proofErr w:type="spellStart"/>
      <w:r w:rsidRPr="00FD72EC">
        <w:rPr>
          <w:rFonts w:eastAsia="Tw Cen MT" w:cs="Tw Cen MT"/>
          <w:sz w:val="16"/>
          <w:szCs w:val="18"/>
        </w:rPr>
        <w:t>K</w:t>
      </w:r>
      <w:proofErr w:type="spellEnd"/>
      <w:r w:rsidRPr="00FD72EC">
        <w:rPr>
          <w:rFonts w:eastAsia="Tw Cen MT" w:cs="Tw Cen MT"/>
          <w:sz w:val="16"/>
          <w:szCs w:val="18"/>
        </w:rPr>
        <w:t xml:space="preserve">, and Patra K.C, (2015), “Application of </w:t>
      </w:r>
      <w:proofErr w:type="spellStart"/>
      <w:r w:rsidRPr="00FD72EC">
        <w:rPr>
          <w:rFonts w:eastAsia="Tw Cen MT" w:cs="Tw Cen MT"/>
          <w:sz w:val="16"/>
          <w:szCs w:val="18"/>
        </w:rPr>
        <w:t>Aadaptive</w:t>
      </w:r>
      <w:proofErr w:type="spellEnd"/>
      <w:r w:rsidRPr="00FD72EC">
        <w:rPr>
          <w:rFonts w:eastAsia="Tw Cen MT" w:cs="Tw Cen MT"/>
          <w:sz w:val="16"/>
          <w:szCs w:val="18"/>
        </w:rPr>
        <w:t xml:space="preserve"> Neuro-fuggy Inference System for Estimation of Roughness Coefficient”, International Journal of Sustainable Development and Planning ,   01/2015, Vol. 10, No. 1, pp 87-99. </w:t>
      </w:r>
    </w:p>
    <w:p w:rsidR="00800297" w:rsidRPr="00FD72EC" w:rsidRDefault="00800297" w:rsidP="00800297">
      <w:pPr>
        <w:pStyle w:val="ListParagraph"/>
        <w:widowControl/>
        <w:numPr>
          <w:ilvl w:val="0"/>
          <w:numId w:val="4"/>
        </w:numPr>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autoSpaceDE w:val="0"/>
        <w:spacing w:before="0" w:line="100" w:lineRule="atLeast"/>
        <w:rPr>
          <w:rFonts w:eastAsia="Tw Cen MT" w:cs="Tw Cen MT"/>
          <w:sz w:val="16"/>
          <w:szCs w:val="18"/>
        </w:rPr>
      </w:pPr>
      <w:proofErr w:type="spellStart"/>
      <w:r w:rsidRPr="00FD72EC">
        <w:rPr>
          <w:rFonts w:eastAsia="Tw Cen MT" w:cs="Tw Cen MT"/>
          <w:sz w:val="16"/>
          <w:szCs w:val="18"/>
        </w:rPr>
        <w:t>Sahoo</w:t>
      </w:r>
      <w:proofErr w:type="spellEnd"/>
      <w:r w:rsidRPr="00FD72EC">
        <w:rPr>
          <w:rFonts w:eastAsia="Tw Cen MT" w:cs="Tw Cen MT"/>
          <w:sz w:val="16"/>
          <w:szCs w:val="18"/>
        </w:rPr>
        <w:t xml:space="preserve"> M.M and Patra K.C, (2013), “Prediction of Water Quality Index in River </w:t>
      </w:r>
      <w:proofErr w:type="spellStart"/>
      <w:r w:rsidRPr="00FD72EC">
        <w:rPr>
          <w:rFonts w:eastAsia="Tw Cen MT" w:cs="Tw Cen MT"/>
          <w:sz w:val="16"/>
          <w:szCs w:val="18"/>
        </w:rPr>
        <w:t>Brahmani</w:t>
      </w:r>
      <w:proofErr w:type="spellEnd"/>
      <w:r w:rsidRPr="00FD72EC">
        <w:rPr>
          <w:rFonts w:eastAsia="Tw Cen MT" w:cs="Tw Cen MT"/>
          <w:sz w:val="16"/>
          <w:szCs w:val="18"/>
        </w:rPr>
        <w:t xml:space="preserve"> Using Adaptive Neuro Fuzzy Inference System, </w:t>
      </w:r>
      <w:proofErr w:type="spellStart"/>
      <w:r w:rsidRPr="00FD72EC">
        <w:rPr>
          <w:rFonts w:eastAsia="Tw Cen MT" w:cs="Tw Cen MT"/>
          <w:sz w:val="16"/>
          <w:szCs w:val="18"/>
        </w:rPr>
        <w:t>Elsvier</w:t>
      </w:r>
      <w:proofErr w:type="spellEnd"/>
      <w:r w:rsidRPr="00FD72EC">
        <w:rPr>
          <w:rFonts w:eastAsia="Tw Cen MT" w:cs="Tw Cen MT"/>
          <w:sz w:val="16"/>
          <w:szCs w:val="18"/>
        </w:rPr>
        <w:t xml:space="preserve"> </w:t>
      </w:r>
      <w:proofErr w:type="spellStart"/>
      <w:r w:rsidRPr="00FD72EC">
        <w:rPr>
          <w:rFonts w:eastAsia="Tw Cen MT" w:cs="Tw Cen MT"/>
          <w:sz w:val="16"/>
          <w:szCs w:val="18"/>
        </w:rPr>
        <w:t>Proceedia</w:t>
      </w:r>
      <w:proofErr w:type="spellEnd"/>
      <w:r w:rsidRPr="00FD72EC">
        <w:rPr>
          <w:rFonts w:eastAsia="Tw Cen MT" w:cs="Tw Cen MT"/>
          <w:sz w:val="16"/>
          <w:szCs w:val="18"/>
        </w:rPr>
        <w:t xml:space="preserve"> </w:t>
      </w:r>
      <w:proofErr w:type="spellStart"/>
      <w:r w:rsidRPr="00FD72EC">
        <w:rPr>
          <w:rFonts w:eastAsia="Tw Cen MT" w:cs="Tw Cen MT"/>
          <w:sz w:val="16"/>
          <w:szCs w:val="18"/>
        </w:rPr>
        <w:t>Engg</w:t>
      </w:r>
      <w:proofErr w:type="spellEnd"/>
      <w:r w:rsidRPr="00FD72EC">
        <w:rPr>
          <w:rFonts w:eastAsia="Tw Cen MT" w:cs="Tw Cen MT"/>
          <w:sz w:val="16"/>
          <w:szCs w:val="18"/>
        </w:rPr>
        <w:t xml:space="preserve">, Vol. 3 (2), 11-16. </w:t>
      </w:r>
    </w:p>
    <w:p w:rsidR="00800297" w:rsidRPr="00FD72EC" w:rsidRDefault="00800297" w:rsidP="00800297">
      <w:pPr>
        <w:widowControl/>
        <w:numPr>
          <w:ilvl w:val="0"/>
          <w:numId w:val="4"/>
        </w:numPr>
        <w:autoSpaceDE w:val="0"/>
        <w:autoSpaceDN w:val="0"/>
        <w:adjustRightInd w:val="0"/>
        <w:spacing w:after="120"/>
        <w:ind w:left="357" w:right="-108" w:hanging="357"/>
        <w:jc w:val="both"/>
        <w:rPr>
          <w:rFonts w:ascii="Calibri" w:hAnsi="Calibri"/>
          <w:sz w:val="16"/>
          <w:szCs w:val="18"/>
        </w:rPr>
      </w:pPr>
      <w:r w:rsidRPr="00FD72EC">
        <w:rPr>
          <w:rFonts w:ascii="Calibri" w:hAnsi="Calibri"/>
          <w:sz w:val="16"/>
          <w:szCs w:val="18"/>
        </w:rPr>
        <w:t xml:space="preserve">Patra K C, (2013), “Discharge Assessment in Straight and Meandering Compound Channels” ISH Journal of Hydraulic Engineering, Taylor and Francis, UK. </w:t>
      </w:r>
      <w:hyperlink r:id="rId10" w:history="1">
        <w:r w:rsidRPr="00FD72EC">
          <w:rPr>
            <w:rFonts w:ascii="Calibri" w:hAnsi="Calibri"/>
            <w:sz w:val="16"/>
            <w:szCs w:val="18"/>
          </w:rPr>
          <w:t>doi.org/10.1080/09715010.2013.787717</w:t>
        </w:r>
      </w:hyperlink>
      <w:r w:rsidRPr="00FD72EC">
        <w:rPr>
          <w:rFonts w:ascii="Calibri" w:hAnsi="Calibri"/>
          <w:sz w:val="16"/>
          <w:szCs w:val="18"/>
        </w:rPr>
        <w:t>. (Scopus)</w:t>
      </w:r>
    </w:p>
    <w:p w:rsidR="00800297" w:rsidRPr="00FD72EC" w:rsidRDefault="00800297" w:rsidP="00800297">
      <w:pPr>
        <w:widowControl/>
        <w:numPr>
          <w:ilvl w:val="0"/>
          <w:numId w:val="4"/>
        </w:numPr>
        <w:shd w:val="clear" w:color="auto" w:fill="FDFDFD"/>
        <w:autoSpaceDE w:val="0"/>
        <w:autoSpaceDN w:val="0"/>
        <w:adjustRightInd w:val="0"/>
        <w:spacing w:after="120"/>
        <w:ind w:left="357" w:right="-108" w:hanging="357"/>
        <w:jc w:val="both"/>
        <w:rPr>
          <w:rFonts w:ascii="Calibri" w:hAnsi="Calibri"/>
          <w:sz w:val="16"/>
          <w:szCs w:val="18"/>
        </w:rPr>
      </w:pPr>
      <w:proofErr w:type="spellStart"/>
      <w:r w:rsidRPr="00FD72EC">
        <w:rPr>
          <w:rFonts w:ascii="Calibri" w:hAnsi="Calibri"/>
          <w:sz w:val="16"/>
          <w:szCs w:val="18"/>
        </w:rPr>
        <w:t>Mohanty</w:t>
      </w:r>
      <w:proofErr w:type="spellEnd"/>
      <w:r w:rsidRPr="00FD72EC">
        <w:rPr>
          <w:rFonts w:ascii="Calibri" w:hAnsi="Calibri"/>
          <w:sz w:val="16"/>
          <w:szCs w:val="18"/>
        </w:rPr>
        <w:t xml:space="preserve"> L, Patra K.C, (2013), “Modeling Depth Averaged Velocity in Trapezoidal Meandering Channels” ISH Journal of Hydraulic Engineering, Taylor and Francis, UK, Paper No ISH JHE 66-625. </w:t>
      </w:r>
      <w:hyperlink r:id="rId11" w:history="1">
        <w:r w:rsidRPr="00FD72EC">
          <w:rPr>
            <w:rFonts w:ascii="Calibri" w:hAnsi="Calibri"/>
            <w:sz w:val="16"/>
            <w:szCs w:val="18"/>
          </w:rPr>
          <w:t>doi.org/10.1080/09715010.2013.857472</w:t>
        </w:r>
      </w:hyperlink>
      <w:r w:rsidRPr="00FD72EC">
        <w:rPr>
          <w:rFonts w:ascii="Calibri" w:hAnsi="Calibri"/>
          <w:sz w:val="16"/>
          <w:szCs w:val="18"/>
        </w:rPr>
        <w:t xml:space="preserve"> (Scopus)</w:t>
      </w:r>
    </w:p>
    <w:p w:rsidR="00800297" w:rsidRPr="00FD72EC" w:rsidRDefault="00800297" w:rsidP="00800297">
      <w:pPr>
        <w:widowControl/>
        <w:numPr>
          <w:ilvl w:val="0"/>
          <w:numId w:val="4"/>
        </w:numPr>
        <w:shd w:val="clear" w:color="auto" w:fill="FDFDFD"/>
        <w:autoSpaceDE w:val="0"/>
        <w:autoSpaceDN w:val="0"/>
        <w:adjustRightInd w:val="0"/>
        <w:spacing w:after="120"/>
        <w:ind w:left="357" w:right="-108" w:hanging="357"/>
        <w:jc w:val="both"/>
        <w:rPr>
          <w:rFonts w:ascii="Calibri" w:hAnsi="Calibri"/>
          <w:sz w:val="16"/>
          <w:szCs w:val="18"/>
        </w:rPr>
      </w:pPr>
      <w:r w:rsidRPr="00FD72EC">
        <w:rPr>
          <w:rFonts w:ascii="Calibri" w:hAnsi="Calibri"/>
          <w:sz w:val="16"/>
          <w:szCs w:val="18"/>
        </w:rPr>
        <w:t>Patnaik M, Patra K.C, (2013), “Boundary Shear Distribution in Highly Sinuous Meandering Channels” ISH Journal of Hydraulic Engineering, Taylor and Francis, UK, Paper No ISH JHE 131-1233. doi.org/10.1080/09715010.2013.860733. (Scopus)</w:t>
      </w:r>
    </w:p>
    <w:p w:rsidR="00800297" w:rsidRPr="00FD72EC" w:rsidRDefault="00800297" w:rsidP="00800297">
      <w:pPr>
        <w:widowControl/>
        <w:numPr>
          <w:ilvl w:val="0"/>
          <w:numId w:val="4"/>
        </w:numPr>
        <w:autoSpaceDE w:val="0"/>
        <w:autoSpaceDN w:val="0"/>
        <w:adjustRightInd w:val="0"/>
        <w:spacing w:after="120"/>
        <w:ind w:left="357" w:right="-108" w:hanging="357"/>
        <w:jc w:val="both"/>
        <w:rPr>
          <w:rFonts w:ascii="Calibri" w:hAnsi="Calibri"/>
          <w:sz w:val="16"/>
          <w:szCs w:val="18"/>
        </w:rPr>
      </w:pPr>
      <w:proofErr w:type="spellStart"/>
      <w:r w:rsidRPr="00FD72EC">
        <w:rPr>
          <w:rFonts w:ascii="Calibri" w:hAnsi="Calibri"/>
          <w:sz w:val="16"/>
          <w:szCs w:val="18"/>
        </w:rPr>
        <w:t>Khatua</w:t>
      </w:r>
      <w:proofErr w:type="spellEnd"/>
      <w:r w:rsidRPr="00FD72EC">
        <w:rPr>
          <w:rFonts w:ascii="Calibri" w:hAnsi="Calibri"/>
          <w:sz w:val="16"/>
          <w:szCs w:val="18"/>
        </w:rPr>
        <w:t xml:space="preserve"> K.K and Patra K.C, (2012), “Selection of Interface Plane for Discharge Prediction in Compound Channels”, International Journal of Sustainable Development. The paper is re-reviewed and accepted for publication in the International Journal of Sustainable Development and Planning, UK, Vol. 0, No. 0, pp 1-17. (Scopus)</w:t>
      </w:r>
    </w:p>
    <w:p w:rsidR="00800297" w:rsidRPr="00FD72EC" w:rsidRDefault="00800297" w:rsidP="00800297">
      <w:pPr>
        <w:widowControl/>
        <w:numPr>
          <w:ilvl w:val="0"/>
          <w:numId w:val="4"/>
        </w:numPr>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autoSpaceDE w:val="0"/>
        <w:spacing w:after="120"/>
        <w:ind w:right="-108" w:hanging="357"/>
        <w:jc w:val="both"/>
        <w:rPr>
          <w:sz w:val="16"/>
          <w:szCs w:val="18"/>
        </w:rPr>
      </w:pPr>
      <w:proofErr w:type="spellStart"/>
      <w:r w:rsidRPr="00FD72EC">
        <w:rPr>
          <w:rFonts w:ascii="Calibri" w:hAnsi="Calibri"/>
          <w:sz w:val="16"/>
          <w:szCs w:val="18"/>
        </w:rPr>
        <w:t>Khatua</w:t>
      </w:r>
      <w:proofErr w:type="spellEnd"/>
      <w:r w:rsidRPr="00FD72EC">
        <w:rPr>
          <w:rFonts w:ascii="Calibri" w:hAnsi="Calibri"/>
          <w:sz w:val="16"/>
          <w:szCs w:val="18"/>
        </w:rPr>
        <w:t xml:space="preserve"> K.K, Patra K C, and </w:t>
      </w:r>
      <w:proofErr w:type="spellStart"/>
      <w:r w:rsidRPr="00FD72EC">
        <w:rPr>
          <w:rFonts w:ascii="Calibri" w:hAnsi="Calibri"/>
          <w:sz w:val="16"/>
          <w:szCs w:val="18"/>
        </w:rPr>
        <w:t>Nayak</w:t>
      </w:r>
      <w:proofErr w:type="spellEnd"/>
      <w:r w:rsidRPr="00FD72EC">
        <w:rPr>
          <w:rFonts w:ascii="Calibri" w:hAnsi="Calibri"/>
          <w:sz w:val="16"/>
          <w:szCs w:val="18"/>
        </w:rPr>
        <w:t xml:space="preserve"> P, (2011), “Meandering Effect for Evaluation of Roughness Coefficients in Open Channel Flow”, Journal of River Basin Management, Volume VI, PP 213-226. (Cited by 5) </w:t>
      </w:r>
    </w:p>
    <w:p w:rsidR="00800297" w:rsidRPr="00FD72EC" w:rsidRDefault="00800297" w:rsidP="00800297">
      <w:pPr>
        <w:pStyle w:val="ListParagraph"/>
        <w:widowControl/>
        <w:numPr>
          <w:ilvl w:val="0"/>
          <w:numId w:val="4"/>
        </w:numPr>
        <w:spacing w:before="0" w:line="240" w:lineRule="auto"/>
        <w:rPr>
          <w:rFonts w:eastAsia="Tw Cen MT" w:cs="Tw Cen MT"/>
          <w:sz w:val="16"/>
          <w:szCs w:val="18"/>
        </w:rPr>
      </w:pPr>
      <w:proofErr w:type="spellStart"/>
      <w:r w:rsidRPr="00FD72EC">
        <w:rPr>
          <w:rFonts w:eastAsia="Tw Cen MT" w:cs="Tw Cen MT"/>
          <w:sz w:val="16"/>
          <w:szCs w:val="18"/>
        </w:rPr>
        <w:t>Sahoo</w:t>
      </w:r>
      <w:proofErr w:type="spellEnd"/>
      <w:r w:rsidRPr="00FD72EC">
        <w:rPr>
          <w:rFonts w:eastAsia="Tw Cen MT" w:cs="Tw Cen MT"/>
          <w:sz w:val="16"/>
          <w:szCs w:val="18"/>
        </w:rPr>
        <w:t xml:space="preserve"> M </w:t>
      </w:r>
      <w:proofErr w:type="spellStart"/>
      <w:r w:rsidRPr="00FD72EC">
        <w:rPr>
          <w:rFonts w:eastAsia="Tw Cen MT" w:cs="Tw Cen MT"/>
          <w:sz w:val="16"/>
          <w:szCs w:val="18"/>
        </w:rPr>
        <w:t>M</w:t>
      </w:r>
      <w:proofErr w:type="spellEnd"/>
      <w:r w:rsidRPr="00FD72EC">
        <w:rPr>
          <w:rFonts w:eastAsia="Tw Cen MT" w:cs="Tw Cen MT"/>
          <w:sz w:val="16"/>
          <w:szCs w:val="18"/>
        </w:rPr>
        <w:t xml:space="preserve">, Patra K C, and </w:t>
      </w:r>
      <w:proofErr w:type="spellStart"/>
      <w:r w:rsidRPr="00FD72EC">
        <w:rPr>
          <w:rFonts w:eastAsia="Tw Cen MT" w:cs="Tw Cen MT"/>
          <w:sz w:val="16"/>
          <w:szCs w:val="18"/>
        </w:rPr>
        <w:t>Khatua</w:t>
      </w:r>
      <w:proofErr w:type="spellEnd"/>
      <w:r w:rsidRPr="00FD72EC">
        <w:rPr>
          <w:rFonts w:eastAsia="Tw Cen MT" w:cs="Tw Cen MT"/>
          <w:sz w:val="16"/>
          <w:szCs w:val="18"/>
        </w:rPr>
        <w:t xml:space="preserve"> K </w:t>
      </w:r>
      <w:proofErr w:type="spellStart"/>
      <w:r w:rsidRPr="00FD72EC">
        <w:rPr>
          <w:rFonts w:eastAsia="Tw Cen MT" w:cs="Tw Cen MT"/>
          <w:sz w:val="16"/>
          <w:szCs w:val="18"/>
        </w:rPr>
        <w:t>K</w:t>
      </w:r>
      <w:proofErr w:type="spellEnd"/>
      <w:r w:rsidRPr="00FD72EC">
        <w:rPr>
          <w:rFonts w:eastAsia="Tw Cen MT" w:cs="Tw Cen MT"/>
          <w:sz w:val="16"/>
          <w:szCs w:val="18"/>
        </w:rPr>
        <w:t>, (2015), “Inference of Water Quality Index Using ANFIS and PCA”, Aquatic Procedia. 4(2015). pp 1099-1106. (Google Scholar)</w:t>
      </w:r>
    </w:p>
    <w:p w:rsidR="00800297" w:rsidRPr="00FD72EC" w:rsidRDefault="00800297" w:rsidP="00800297">
      <w:pPr>
        <w:pStyle w:val="ListParagraph"/>
        <w:widowControl/>
        <w:numPr>
          <w:ilvl w:val="0"/>
          <w:numId w:val="4"/>
        </w:numPr>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autoSpaceDE w:val="0"/>
        <w:spacing w:before="0" w:line="100" w:lineRule="atLeast"/>
        <w:rPr>
          <w:rFonts w:eastAsia="Tw Cen MT" w:cs="Tw Cen MT"/>
          <w:sz w:val="16"/>
          <w:szCs w:val="18"/>
        </w:rPr>
      </w:pPr>
      <w:proofErr w:type="spellStart"/>
      <w:r w:rsidRPr="00FD72EC">
        <w:rPr>
          <w:rFonts w:eastAsia="Tw Cen MT" w:cs="Tw Cen MT"/>
          <w:sz w:val="16"/>
          <w:szCs w:val="18"/>
        </w:rPr>
        <w:t>Sahoo</w:t>
      </w:r>
      <w:proofErr w:type="spellEnd"/>
      <w:r w:rsidRPr="00FD72EC">
        <w:rPr>
          <w:rFonts w:eastAsia="Tw Cen MT" w:cs="Tw Cen MT"/>
          <w:sz w:val="16"/>
          <w:szCs w:val="18"/>
        </w:rPr>
        <w:t xml:space="preserve"> M.M, and Patra K.C, (2013), “Prediction and Comparison of WQI using ANFIS and ANN”, International Journal of Environmental Sciences (Google Scholar). Vol.3 (2), 4-7.</w:t>
      </w:r>
    </w:p>
    <w:p w:rsidR="00800297" w:rsidRPr="00FD72EC" w:rsidRDefault="00800297" w:rsidP="00800297">
      <w:pPr>
        <w:jc w:val="both"/>
        <w:rPr>
          <w:rFonts w:ascii="Calibri" w:hAnsi="Calibri"/>
          <w:sz w:val="16"/>
          <w:szCs w:val="18"/>
        </w:rPr>
      </w:pPr>
    </w:p>
    <w:p w:rsidR="00AE3E37" w:rsidRPr="00FD72EC" w:rsidRDefault="008756E6">
      <w:pPr>
        <w:spacing w:line="200" w:lineRule="exact"/>
        <w:jc w:val="both"/>
        <w:rPr>
          <w:rFonts w:ascii="Calibri" w:hAnsi="Calibri"/>
          <w:sz w:val="2"/>
        </w:rPr>
        <w:sectPr w:rsidR="00AE3E37" w:rsidRPr="00FD72EC">
          <w:type w:val="continuous"/>
          <w:pgSz w:w="11910" w:h="16840"/>
          <w:pgMar w:top="1740" w:right="600" w:bottom="840" w:left="620" w:header="720" w:footer="720" w:gutter="0"/>
          <w:cols w:num="2" w:space="720" w:equalWidth="0">
            <w:col w:w="5214" w:space="138"/>
            <w:col w:w="5338"/>
          </w:cols>
        </w:sectPr>
      </w:pPr>
      <w:r w:rsidRPr="00FD72EC">
        <w:rPr>
          <w:rFonts w:ascii="Calibri" w:hAnsi="Calibri"/>
          <w:sz w:val="20"/>
        </w:rPr>
        <w:t xml:space="preserve"> </w:t>
      </w:r>
    </w:p>
    <w:p w:rsidR="00AE3E37" w:rsidRPr="00FD72EC" w:rsidRDefault="00AE3E37">
      <w:pPr>
        <w:pStyle w:val="BodyText"/>
        <w:rPr>
          <w:rFonts w:ascii="Calibri"/>
          <w:sz w:val="2"/>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28AB1BD7" wp14:editId="4757DE3F">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(150 word limit)</w:t>
      </w:r>
    </w:p>
    <w:p w:rsidR="00F200E7" w:rsidRDefault="00F200E7">
      <w:pPr>
        <w:spacing w:before="41" w:line="154" w:lineRule="exact"/>
        <w:ind w:left="213" w:right="231"/>
        <w:jc w:val="both"/>
        <w:rPr>
          <w:rFonts w:ascii="Arial"/>
          <w:sz w:val="14"/>
        </w:rPr>
      </w:pPr>
      <w:r>
        <w:rPr>
          <w:rFonts w:ascii="Arial"/>
          <w:sz w:val="14"/>
        </w:rPr>
        <w:t>Prof (</w:t>
      </w:r>
      <w:r w:rsidR="00FD72EC">
        <w:rPr>
          <w:rFonts w:ascii="Arial"/>
          <w:sz w:val="14"/>
        </w:rPr>
        <w:t>Dr</w:t>
      </w:r>
      <w:r>
        <w:rPr>
          <w:rFonts w:ascii="Arial"/>
          <w:sz w:val="14"/>
        </w:rPr>
        <w:t xml:space="preserve">.) </w:t>
      </w:r>
      <w:proofErr w:type="spellStart"/>
      <w:r w:rsidR="00FD72EC">
        <w:rPr>
          <w:rFonts w:ascii="Arial"/>
          <w:sz w:val="14"/>
        </w:rPr>
        <w:t>Kanhu</w:t>
      </w:r>
      <w:proofErr w:type="spellEnd"/>
      <w:r w:rsidR="00FD72EC">
        <w:rPr>
          <w:rFonts w:ascii="Arial"/>
          <w:sz w:val="14"/>
        </w:rPr>
        <w:t xml:space="preserve"> </w:t>
      </w:r>
      <w:proofErr w:type="spellStart"/>
      <w:r w:rsidR="00FD72EC">
        <w:rPr>
          <w:rFonts w:ascii="Arial"/>
          <w:sz w:val="14"/>
        </w:rPr>
        <w:t>Charan</w:t>
      </w:r>
      <w:proofErr w:type="spellEnd"/>
      <w:r w:rsidR="00FD72EC">
        <w:rPr>
          <w:rFonts w:ascii="Arial"/>
          <w:sz w:val="14"/>
        </w:rPr>
        <w:t xml:space="preserve"> Patra </w:t>
      </w:r>
      <w:r w:rsidR="00A9710C">
        <w:rPr>
          <w:rFonts w:ascii="Arial"/>
          <w:sz w:val="14"/>
        </w:rPr>
        <w:t xml:space="preserve">has </w:t>
      </w:r>
      <w:r>
        <w:rPr>
          <w:rFonts w:ascii="Arial"/>
          <w:sz w:val="14"/>
        </w:rPr>
        <w:t xml:space="preserve">vast work experience of 35 years in the </w:t>
      </w:r>
      <w:r w:rsidR="00703868">
        <w:rPr>
          <w:rFonts w:ascii="Arial"/>
          <w:sz w:val="14"/>
        </w:rPr>
        <w:t xml:space="preserve">field </w:t>
      </w:r>
      <w:r>
        <w:rPr>
          <w:rFonts w:ascii="Arial"/>
          <w:sz w:val="14"/>
        </w:rPr>
        <w:t xml:space="preserve">of </w:t>
      </w:r>
      <w:r w:rsidR="00FD72EC">
        <w:rPr>
          <w:rFonts w:ascii="Arial"/>
          <w:sz w:val="14"/>
        </w:rPr>
        <w:t>Water Resources and Hydraulic Engineering</w:t>
      </w:r>
      <w:r>
        <w:rPr>
          <w:rFonts w:ascii="Arial"/>
          <w:sz w:val="14"/>
        </w:rPr>
        <w:t>. He has authored 8 books in the subject of water resources engineering</w:t>
      </w:r>
      <w:r w:rsidR="00703868">
        <w:rPr>
          <w:rFonts w:ascii="Arial"/>
          <w:sz w:val="14"/>
        </w:rPr>
        <w:t xml:space="preserve"> and published more than 200 papers in the international journals and conferences</w:t>
      </w:r>
      <w:r>
        <w:rPr>
          <w:rFonts w:ascii="Arial"/>
          <w:sz w:val="14"/>
        </w:rPr>
        <w:t>. H</w:t>
      </w:r>
      <w:r>
        <w:rPr>
          <w:rFonts w:ascii="Arial"/>
          <w:sz w:val="14"/>
        </w:rPr>
        <w:t xml:space="preserve">e has </w:t>
      </w:r>
      <w:r>
        <w:rPr>
          <w:rFonts w:ascii="Arial"/>
          <w:sz w:val="14"/>
        </w:rPr>
        <w:t xml:space="preserve">worked in the water resources </w:t>
      </w:r>
      <w:r w:rsidR="00937F8A">
        <w:rPr>
          <w:rFonts w:ascii="Arial"/>
          <w:sz w:val="14"/>
        </w:rPr>
        <w:t xml:space="preserve">engineering </w:t>
      </w:r>
      <w:r>
        <w:rPr>
          <w:rFonts w:ascii="Arial"/>
          <w:sz w:val="14"/>
        </w:rPr>
        <w:t xml:space="preserve">departments </w:t>
      </w:r>
      <w:r w:rsidR="00703868">
        <w:rPr>
          <w:rFonts w:ascii="Arial"/>
          <w:sz w:val="14"/>
        </w:rPr>
        <w:t>over a decade gaining unique experience in the planning, design, construction and management of water resources projects. Since 1993 he is working as professor</w:t>
      </w:r>
      <w:r w:rsidR="00937F8A">
        <w:rPr>
          <w:rFonts w:ascii="Arial"/>
          <w:sz w:val="14"/>
        </w:rPr>
        <w:t>,</w:t>
      </w:r>
      <w:r w:rsidR="00703868">
        <w:rPr>
          <w:rFonts w:ascii="Arial"/>
          <w:sz w:val="14"/>
        </w:rPr>
        <w:t xml:space="preserve"> gaining </w:t>
      </w:r>
      <w:r>
        <w:rPr>
          <w:rFonts w:ascii="Arial"/>
          <w:sz w:val="14"/>
        </w:rPr>
        <w:t xml:space="preserve">experience in research, evaluation, teaching and </w:t>
      </w:r>
      <w:r w:rsidR="00937F8A">
        <w:rPr>
          <w:rFonts w:ascii="Arial"/>
          <w:sz w:val="14"/>
        </w:rPr>
        <w:t>administration.</w:t>
      </w:r>
    </w:p>
    <w:p w:rsidR="00AE3E37" w:rsidRDefault="00A9710C">
      <w:pPr>
        <w:spacing w:before="62"/>
        <w:ind w:left="4217" w:right="4235"/>
        <w:jc w:val="center"/>
        <w:rPr>
          <w:rFonts w:ascii="Arial"/>
          <w:sz w:val="14"/>
        </w:rPr>
      </w:pPr>
      <w:r>
        <w:rPr>
          <w:rFonts w:ascii="Arial"/>
          <w:sz w:val="14"/>
        </w:rPr>
        <w:t xml:space="preserve">Email: </w:t>
      </w:r>
      <w:hyperlink r:id="rId12" w:history="1">
        <w:r w:rsidR="005C1B54" w:rsidRPr="00E57CF9">
          <w:rPr>
            <w:rStyle w:val="Hyperlink"/>
            <w:rFonts w:ascii="Arial"/>
            <w:sz w:val="14"/>
          </w:rPr>
          <w:t>prof_kcpatra@yahoo.com</w:t>
        </w:r>
      </w:hyperlink>
      <w:r w:rsidR="00703868">
        <w:rPr>
          <w:rFonts w:ascii="Arial"/>
          <w:sz w:val="14"/>
        </w:rPr>
        <w:t xml:space="preserve">  </w:t>
      </w:r>
      <w:hyperlink r:id="rId13" w:history="1">
        <w:r w:rsidR="00703868" w:rsidRPr="00E57CF9">
          <w:rPr>
            <w:rStyle w:val="Hyperlink"/>
            <w:rFonts w:ascii="Arial"/>
            <w:sz w:val="14"/>
          </w:rPr>
          <w:t>kcpatra@nitrkl.ac.in</w:t>
        </w:r>
      </w:hyperlink>
    </w:p>
    <w:p w:rsidR="00703868" w:rsidRDefault="00703868">
      <w:pPr>
        <w:spacing w:before="62"/>
        <w:ind w:left="4217" w:right="4235"/>
        <w:jc w:val="center"/>
        <w:rPr>
          <w:rFonts w:ascii="Arial"/>
          <w:sz w:val="14"/>
        </w:rPr>
      </w:pP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45E4" w:rsidRDefault="001045E4">
      <w:r>
        <w:separator/>
      </w:r>
    </w:p>
  </w:endnote>
  <w:endnote w:type="continuationSeparator" w:id="0">
    <w:p w:rsidR="001045E4" w:rsidRDefault="001045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w Cen MT">
    <w:panose1 w:val="020B0602020104020603"/>
    <w:charset w:val="00"/>
    <w:family w:val="swiss"/>
    <w:pitch w:val="variable"/>
    <w:sig w:usb0="00000007" w:usb1="00000000" w:usb2="00000000" w:usb3="00000000" w:csb0="00000003" w:csb1="00000000"/>
  </w:font>
  <w:font w:name="Minion Pro">
    <w:altName w:val="Times New Roman"/>
    <w:charset w:val="00"/>
    <w:family w:val="auto"/>
    <w:pitch w:val="default"/>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45E4" w:rsidRDefault="001045E4">
      <w:r>
        <w:separator/>
      </w:r>
    </w:p>
  </w:footnote>
  <w:footnote w:type="continuationSeparator" w:id="0">
    <w:p w:rsidR="001045E4" w:rsidRDefault="001045E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E72259"/>
    <w:multiLevelType w:val="hybridMultilevel"/>
    <w:tmpl w:val="747E89E8"/>
    <w:lvl w:ilvl="0" w:tplc="19985C86">
      <w:start w:val="1"/>
      <w:numFmt w:val="decimal"/>
      <w:lvlText w:val="%1."/>
      <w:lvlJc w:val="left"/>
      <w:pPr>
        <w:ind w:left="360" w:hanging="360"/>
      </w:pPr>
      <w:rPr>
        <w:rFonts w:ascii="Times New Roman" w:hAnsi="Times New Roman" w:cs="Times New Roman" w:hint="default"/>
        <w:b w:val="0"/>
        <w:i w:val="0"/>
        <w:color w:val="auto"/>
        <w:sz w:val="20"/>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045E4"/>
    <w:rsid w:val="001263DF"/>
    <w:rsid w:val="00164789"/>
    <w:rsid w:val="00292ED9"/>
    <w:rsid w:val="00334046"/>
    <w:rsid w:val="00404E5B"/>
    <w:rsid w:val="00414F7B"/>
    <w:rsid w:val="004355DC"/>
    <w:rsid w:val="004749B4"/>
    <w:rsid w:val="00494130"/>
    <w:rsid w:val="004F3523"/>
    <w:rsid w:val="005973B9"/>
    <w:rsid w:val="005B3A56"/>
    <w:rsid w:val="005C1B54"/>
    <w:rsid w:val="006060CE"/>
    <w:rsid w:val="0063497F"/>
    <w:rsid w:val="00703868"/>
    <w:rsid w:val="00800297"/>
    <w:rsid w:val="00873DF0"/>
    <w:rsid w:val="008756E6"/>
    <w:rsid w:val="00937F8A"/>
    <w:rsid w:val="009B2D44"/>
    <w:rsid w:val="00A07E82"/>
    <w:rsid w:val="00A9710C"/>
    <w:rsid w:val="00AE3E37"/>
    <w:rsid w:val="00B21A57"/>
    <w:rsid w:val="00C33602"/>
    <w:rsid w:val="00CD6F55"/>
    <w:rsid w:val="00DE3104"/>
    <w:rsid w:val="00F200E7"/>
    <w:rsid w:val="00F72EEA"/>
    <w:rsid w:val="00F84CAE"/>
    <w:rsid w:val="00FD72E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link w:val="ListParagraphChar"/>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icsmbodytext">
    <w:name w:val="icsm_bodytext"/>
    <w:basedOn w:val="Normal"/>
    <w:rsid w:val="005C1B54"/>
    <w:pPr>
      <w:widowControl/>
      <w:ind w:firstLine="240"/>
      <w:jc w:val="both"/>
    </w:pPr>
    <w:rPr>
      <w:rFonts w:ascii="Times New Roman" w:eastAsia="Times New Roman" w:hAnsi="Times New Roman" w:cs="Times New Roman"/>
      <w:sz w:val="20"/>
      <w:szCs w:val="20"/>
      <w:lang w:val="en-GB" w:eastAsia="en-IN"/>
    </w:rPr>
  </w:style>
  <w:style w:type="character" w:styleId="Strong">
    <w:name w:val="Strong"/>
    <w:basedOn w:val="DefaultParagraphFont"/>
    <w:uiPriority w:val="22"/>
    <w:qFormat/>
    <w:rsid w:val="00800297"/>
    <w:rPr>
      <w:rFonts w:cs="Times New Roman"/>
      <w:b/>
      <w:bCs/>
    </w:rPr>
  </w:style>
  <w:style w:type="character" w:customStyle="1" w:styleId="ListParagraphChar">
    <w:name w:val="List Paragraph Char"/>
    <w:link w:val="ListParagraph"/>
    <w:rsid w:val="00800297"/>
    <w:rPr>
      <w:rFonts w:ascii="Calibri" w:eastAsia="Calibri" w:hAnsi="Calibri" w:cs="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link w:val="ListParagraphChar"/>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icsmbodytext">
    <w:name w:val="icsm_bodytext"/>
    <w:basedOn w:val="Normal"/>
    <w:rsid w:val="005C1B54"/>
    <w:pPr>
      <w:widowControl/>
      <w:ind w:firstLine="240"/>
      <w:jc w:val="both"/>
    </w:pPr>
    <w:rPr>
      <w:rFonts w:ascii="Times New Roman" w:eastAsia="Times New Roman" w:hAnsi="Times New Roman" w:cs="Times New Roman"/>
      <w:sz w:val="20"/>
      <w:szCs w:val="20"/>
      <w:lang w:val="en-GB" w:eastAsia="en-IN"/>
    </w:rPr>
  </w:style>
  <w:style w:type="character" w:styleId="Strong">
    <w:name w:val="Strong"/>
    <w:basedOn w:val="DefaultParagraphFont"/>
    <w:uiPriority w:val="22"/>
    <w:qFormat/>
    <w:rsid w:val="00800297"/>
    <w:rPr>
      <w:rFonts w:cs="Times New Roman"/>
      <w:b/>
      <w:bCs/>
    </w:rPr>
  </w:style>
  <w:style w:type="character" w:customStyle="1" w:styleId="ListParagraphChar">
    <w:name w:val="List Paragraph Char"/>
    <w:link w:val="ListParagraph"/>
    <w:rsid w:val="00800297"/>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kcpatra@nitrkl.ac.in"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prof_kcpatra@yaho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dx.doi.org/10.1080/09715010.2013.857472"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dx.doi.org/10.1080/09715010.2013.787717"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1066</Words>
  <Characters>6080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7132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k.c patra</cp:lastModifiedBy>
  <cp:revision>2</cp:revision>
  <dcterms:created xsi:type="dcterms:W3CDTF">2017-06-07T11:46:00Z</dcterms:created>
  <dcterms:modified xsi:type="dcterms:W3CDTF">2017-06-07T11:46:00Z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