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1EC8" w:rsidRDefault="004D4702" w:rsidP="00AC1EC8">
      <w:pPr>
        <w:rPr>
          <w:rFonts w:asciiTheme="majorBidi" w:hAnsiTheme="majorBidi" w:cstheme="majorBidi"/>
          <w:b/>
          <w:bCs/>
          <w:sz w:val="28"/>
          <w:szCs w:val="28"/>
        </w:rPr>
      </w:pPr>
      <w:r>
        <w:rPr>
          <w:rFonts w:asciiTheme="majorBidi" w:hAnsiTheme="majorBidi" w:cstheme="majorBidi"/>
          <w:b/>
          <w:bCs/>
          <w:sz w:val="28"/>
          <w:szCs w:val="28"/>
        </w:rPr>
        <w:t>Raise the Compulsion Theory of Sustainability in Rural Drinking Water Supply System</w:t>
      </w:r>
    </w:p>
    <w:p w:rsidR="004D4702" w:rsidRPr="00AC1EC8" w:rsidRDefault="004D4702" w:rsidP="00AC1EC8">
      <w:pPr>
        <w:rPr>
          <w:rFonts w:asciiTheme="majorBidi" w:hAnsiTheme="majorBidi" w:cstheme="majorBidi"/>
          <w:b/>
          <w:bCs/>
          <w:sz w:val="24"/>
          <w:szCs w:val="24"/>
        </w:rPr>
      </w:pPr>
      <w:r w:rsidRPr="00AC1EC8">
        <w:rPr>
          <w:rFonts w:asciiTheme="majorBidi" w:hAnsiTheme="majorBidi" w:cstheme="majorBidi"/>
          <w:b/>
          <w:bCs/>
          <w:sz w:val="24"/>
          <w:szCs w:val="24"/>
        </w:rPr>
        <w:t>Assist</w:t>
      </w:r>
      <w:r w:rsidR="00AC1EC8">
        <w:rPr>
          <w:rFonts w:asciiTheme="majorBidi" w:hAnsiTheme="majorBidi" w:cstheme="majorBidi"/>
          <w:b/>
          <w:bCs/>
          <w:sz w:val="24"/>
          <w:szCs w:val="24"/>
        </w:rPr>
        <w:t xml:space="preserve">ance Prof Mr. Lila Prasad </w:t>
      </w:r>
      <w:proofErr w:type="spellStart"/>
      <w:r w:rsidR="00AC1EC8">
        <w:rPr>
          <w:rFonts w:asciiTheme="majorBidi" w:hAnsiTheme="majorBidi" w:cstheme="majorBidi"/>
          <w:b/>
          <w:bCs/>
          <w:sz w:val="24"/>
          <w:szCs w:val="24"/>
        </w:rPr>
        <w:t>Limbu</w:t>
      </w:r>
      <w:proofErr w:type="spellEnd"/>
      <w:r w:rsidR="00AC1EC8">
        <w:rPr>
          <w:rFonts w:asciiTheme="majorBidi" w:hAnsiTheme="majorBidi" w:cstheme="majorBidi"/>
          <w:b/>
          <w:bCs/>
          <w:sz w:val="24"/>
          <w:szCs w:val="24"/>
        </w:rPr>
        <w:t>/Nepal/</w:t>
      </w:r>
    </w:p>
    <w:p w:rsidR="00464E66" w:rsidRDefault="00BA21CF" w:rsidP="00BA21CF">
      <w:pPr>
        <w:rPr>
          <w:b/>
          <w:bCs/>
          <w:sz w:val="28"/>
          <w:szCs w:val="28"/>
        </w:rPr>
      </w:pPr>
      <w:r>
        <w:rPr>
          <w:b/>
          <w:bCs/>
          <w:sz w:val="28"/>
          <w:szCs w:val="28"/>
        </w:rPr>
        <w:t>ABSTRACT</w:t>
      </w:r>
    </w:p>
    <w:p w:rsidR="00AC1EC8" w:rsidRDefault="00464E66" w:rsidP="00AC1EC8">
      <w:pPr>
        <w:spacing w:before="120" w:after="120"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Nepalese Government has been expanding sustainable water system in Nepal. On the process of expanding drinking water systems, the Nepalese government has been trying to involve governmental, non governmental and private sectors. The governmental sector is leading from Department of water supply and sewerage. To fulfill sustainable development goals, local government and NGOs have been conducting many drinking water and sanitation </w:t>
      </w:r>
      <w:proofErr w:type="spellStart"/>
      <w:r>
        <w:rPr>
          <w:rFonts w:asciiTheme="majorBidi" w:hAnsiTheme="majorBidi" w:cstheme="majorBidi"/>
          <w:sz w:val="24"/>
          <w:szCs w:val="24"/>
        </w:rPr>
        <w:t>programmes</w:t>
      </w:r>
      <w:proofErr w:type="spellEnd"/>
      <w:r>
        <w:rPr>
          <w:rFonts w:asciiTheme="majorBidi" w:hAnsiTheme="majorBidi" w:cstheme="majorBidi"/>
          <w:sz w:val="24"/>
          <w:szCs w:val="24"/>
        </w:rPr>
        <w:t xml:space="preserve"> in different parts of Nepal. However, only 11.06 percent people get safe drinking water in Nepal.</w:t>
      </w:r>
      <w:r w:rsidR="00AC1EC8" w:rsidRPr="00AC1EC8">
        <w:rPr>
          <w:rFonts w:asciiTheme="majorBidi" w:hAnsiTheme="majorBidi" w:cstheme="majorBidi"/>
          <w:sz w:val="24"/>
          <w:szCs w:val="24"/>
        </w:rPr>
        <w:t xml:space="preserve"> </w:t>
      </w:r>
      <w:r w:rsidR="00AC1EC8">
        <w:rPr>
          <w:rFonts w:asciiTheme="majorBidi" w:hAnsiTheme="majorBidi" w:cstheme="majorBidi"/>
          <w:sz w:val="24"/>
          <w:szCs w:val="24"/>
        </w:rPr>
        <w:t xml:space="preserve">Even more, the percentage mostly covers the urban area.  The most of rural people are far away from safe drinking water in Nepal. Due to this, Nepalese government has been involving public and private sector to develop safe drinking water supply system in village area. The Nepal government has been spending money for constructing safe drinking water supply system.  The projects lunched by government are not functioning well within two or three years. In the same way, British </w:t>
      </w:r>
      <w:proofErr w:type="spellStart"/>
      <w:r w:rsidR="00AC1EC8">
        <w:rPr>
          <w:rFonts w:asciiTheme="majorBidi" w:hAnsiTheme="majorBidi" w:cstheme="majorBidi"/>
          <w:sz w:val="24"/>
          <w:szCs w:val="24"/>
        </w:rPr>
        <w:t>Gurkha</w:t>
      </w:r>
      <w:proofErr w:type="spellEnd"/>
      <w:r w:rsidR="00AC1EC8">
        <w:rPr>
          <w:rFonts w:asciiTheme="majorBidi" w:hAnsiTheme="majorBidi" w:cstheme="majorBidi"/>
          <w:sz w:val="24"/>
          <w:szCs w:val="24"/>
        </w:rPr>
        <w:t xml:space="preserve"> Welfare office has been conducting rural water and sanitation </w:t>
      </w:r>
      <w:proofErr w:type="spellStart"/>
      <w:r w:rsidR="00AC1EC8">
        <w:rPr>
          <w:rFonts w:asciiTheme="majorBidi" w:hAnsiTheme="majorBidi" w:cstheme="majorBidi"/>
          <w:sz w:val="24"/>
          <w:szCs w:val="24"/>
        </w:rPr>
        <w:t>programmes</w:t>
      </w:r>
      <w:proofErr w:type="spellEnd"/>
      <w:r w:rsidR="00AC1EC8">
        <w:rPr>
          <w:rFonts w:asciiTheme="majorBidi" w:hAnsiTheme="majorBidi" w:cstheme="majorBidi"/>
          <w:sz w:val="24"/>
          <w:szCs w:val="24"/>
        </w:rPr>
        <w:t xml:space="preserve"> in different parts of Nepal by helping DFID and British </w:t>
      </w:r>
      <w:proofErr w:type="spellStart"/>
      <w:r w:rsidR="00AC1EC8">
        <w:rPr>
          <w:rFonts w:asciiTheme="majorBidi" w:hAnsiTheme="majorBidi" w:cstheme="majorBidi"/>
          <w:sz w:val="24"/>
          <w:szCs w:val="24"/>
        </w:rPr>
        <w:t>Gurkha</w:t>
      </w:r>
      <w:proofErr w:type="spellEnd"/>
      <w:r w:rsidR="00AC1EC8">
        <w:rPr>
          <w:rFonts w:asciiTheme="majorBidi" w:hAnsiTheme="majorBidi" w:cstheme="majorBidi"/>
          <w:sz w:val="24"/>
          <w:szCs w:val="24"/>
        </w:rPr>
        <w:t xml:space="preserve"> Trust. These are more sustainable than the Nepalese Government drinking water projects. They need not repair for a long time. If there is existing minor problems, local people immediately repair those things in that projects. So, </w:t>
      </w:r>
      <w:r w:rsidR="00AC1EC8">
        <w:rPr>
          <w:sz w:val="24"/>
          <w:szCs w:val="24"/>
        </w:rPr>
        <w:t>t</w:t>
      </w:r>
      <w:r w:rsidR="00BA21CF">
        <w:rPr>
          <w:sz w:val="24"/>
          <w:szCs w:val="24"/>
        </w:rPr>
        <w:t>his study was conducted with</w:t>
      </w:r>
      <w:r w:rsidR="00BA21CF">
        <w:rPr>
          <w:rFonts w:asciiTheme="majorBidi" w:hAnsiTheme="majorBidi" w:cstheme="majorBidi"/>
          <w:sz w:val="24"/>
          <w:szCs w:val="24"/>
        </w:rPr>
        <w:t xml:space="preserve"> objective of comparing the basic standard of sustainability between British </w:t>
      </w:r>
      <w:proofErr w:type="spellStart"/>
      <w:r w:rsidR="00BA21CF">
        <w:rPr>
          <w:rFonts w:asciiTheme="majorBidi" w:hAnsiTheme="majorBidi" w:cstheme="majorBidi"/>
          <w:sz w:val="24"/>
          <w:szCs w:val="24"/>
        </w:rPr>
        <w:t>Gurkha</w:t>
      </w:r>
      <w:proofErr w:type="spellEnd"/>
      <w:r w:rsidR="00BA21CF">
        <w:rPr>
          <w:rFonts w:asciiTheme="majorBidi" w:hAnsiTheme="majorBidi" w:cstheme="majorBidi"/>
          <w:sz w:val="24"/>
          <w:szCs w:val="24"/>
        </w:rPr>
        <w:t xml:space="preserve"> pipeline rural drinking water supply system and the Nepalese government pipeline rural drinking water supply system for reconstructing the sustainable rural drinking water supply system for rural area. So, the </w:t>
      </w:r>
      <w:r w:rsidR="00BA21CF">
        <w:rPr>
          <w:sz w:val="24"/>
          <w:szCs w:val="24"/>
        </w:rPr>
        <w:t xml:space="preserve">research article the compulsion theory of sustainability in rural drinking water project explores the causes of sustainability of rural </w:t>
      </w:r>
      <w:proofErr w:type="spellStart"/>
      <w:r w:rsidR="00BA21CF">
        <w:rPr>
          <w:sz w:val="24"/>
          <w:szCs w:val="24"/>
        </w:rPr>
        <w:t>Gurkha</w:t>
      </w:r>
      <w:proofErr w:type="spellEnd"/>
      <w:r w:rsidR="00BA21CF">
        <w:rPr>
          <w:sz w:val="24"/>
          <w:szCs w:val="24"/>
        </w:rPr>
        <w:t xml:space="preserve"> Welfare pipeline drinking water supply system and Weakness of Nepalese government rural pipeline drinking water supply system in </w:t>
      </w:r>
      <w:proofErr w:type="spellStart"/>
      <w:r w:rsidR="00BA21CF">
        <w:rPr>
          <w:sz w:val="24"/>
          <w:szCs w:val="24"/>
        </w:rPr>
        <w:t>Basantatar</w:t>
      </w:r>
      <w:proofErr w:type="spellEnd"/>
      <w:r w:rsidR="00BA21CF">
        <w:rPr>
          <w:sz w:val="24"/>
          <w:szCs w:val="24"/>
        </w:rPr>
        <w:t xml:space="preserve"> Village Development Committee in </w:t>
      </w:r>
      <w:proofErr w:type="spellStart"/>
      <w:r w:rsidR="00BA21CF">
        <w:rPr>
          <w:sz w:val="24"/>
          <w:szCs w:val="24"/>
        </w:rPr>
        <w:t>Dhankuta</w:t>
      </w:r>
      <w:proofErr w:type="spellEnd"/>
      <w:r w:rsidR="00BA21CF">
        <w:rPr>
          <w:sz w:val="24"/>
          <w:szCs w:val="24"/>
        </w:rPr>
        <w:t xml:space="preserve"> district. The study is mainly based on primary and secondary data which were collected by using field survey, discussion, focus group discussion, and observation methods with help of structured questionnaires and check-list. Finally, it</w:t>
      </w:r>
      <w:r w:rsidR="00AC1EC8">
        <w:rPr>
          <w:sz w:val="24"/>
          <w:szCs w:val="24"/>
        </w:rPr>
        <w:t xml:space="preserve"> </w:t>
      </w:r>
      <w:r w:rsidR="00BA21CF">
        <w:rPr>
          <w:sz w:val="24"/>
          <w:szCs w:val="24"/>
        </w:rPr>
        <w:t>concludes that compulsion is major element for sustainability for the rural pipeline drinking water project.</w:t>
      </w:r>
      <w:r w:rsidR="00AC1EC8" w:rsidRPr="00AC1EC8">
        <w:rPr>
          <w:rFonts w:asciiTheme="majorBidi" w:hAnsiTheme="majorBidi" w:cstheme="majorBidi"/>
          <w:sz w:val="24"/>
          <w:szCs w:val="24"/>
        </w:rPr>
        <w:t xml:space="preserve"> </w:t>
      </w:r>
    </w:p>
    <w:p w:rsidR="00BA21CF" w:rsidRPr="00464E66" w:rsidRDefault="00BA21CF" w:rsidP="00464E66">
      <w:pPr>
        <w:rPr>
          <w:b/>
          <w:bCs/>
          <w:sz w:val="28"/>
          <w:szCs w:val="28"/>
        </w:rPr>
      </w:pPr>
    </w:p>
    <w:p w:rsidR="007E419D" w:rsidRDefault="00B47535" w:rsidP="007E419D">
      <w:pPr>
        <w:spacing w:before="120" w:after="120" w:line="360" w:lineRule="auto"/>
        <w:jc w:val="center"/>
        <w:rPr>
          <w:rFonts w:asciiTheme="majorBidi" w:hAnsiTheme="majorBidi" w:cstheme="majorBidi"/>
          <w:sz w:val="26"/>
          <w:szCs w:val="26"/>
        </w:rPr>
      </w:pPr>
      <w:r w:rsidRPr="00B47535">
        <w:pict>
          <v:group id="_x0000_s1026" style="position:absolute;left:0;text-align:left;margin-left:2.35pt;margin-top:25.4pt;width:450.1pt;height:230.45pt;z-index:251658240" coordorigin="1775,11046" coordsize="9002,4609">
            <v:rect id="_x0000_s1027" style="position:absolute;left:4450;top:12575;width:3613;height:1249" fillcolor="#fde9d9 [665]">
              <v:textbox style="mso-next-textbox:#_x0000_s1027" inset=",0">
                <w:txbxContent>
                  <w:p w:rsidR="007E419D" w:rsidRDefault="007E419D" w:rsidP="007E419D">
                    <w:pPr>
                      <w:spacing w:before="240" w:after="0"/>
                      <w:jc w:val="both"/>
                      <w:rPr>
                        <w:rFonts w:asciiTheme="majorBidi" w:hAnsiTheme="majorBidi" w:cstheme="majorBidi"/>
                        <w:b/>
                        <w:bCs/>
                        <w:sz w:val="24"/>
                        <w:szCs w:val="24"/>
                      </w:rPr>
                    </w:pPr>
                    <w:r>
                      <w:rPr>
                        <w:rFonts w:asciiTheme="majorBidi" w:hAnsiTheme="majorBidi" w:cstheme="majorBidi"/>
                        <w:b/>
                        <w:bCs/>
                        <w:sz w:val="24"/>
                        <w:szCs w:val="24"/>
                      </w:rPr>
                      <w:t xml:space="preserve">Sustainability of Rural Drinking Water Supply System </w:t>
                    </w:r>
                  </w:p>
                </w:txbxContent>
              </v:textbox>
            </v:rect>
            <v:rect id="_x0000_s1028" style="position:absolute;left:4660;top:11541;width:1326;height:673" fillcolor="aqua">
              <v:textbox style="mso-next-textbox:#_x0000_s1028" inset=",0">
                <w:txbxContent>
                  <w:p w:rsidR="007E419D" w:rsidRDefault="007E419D" w:rsidP="007E419D">
                    <w:pPr>
                      <w:spacing w:before="120" w:after="0"/>
                      <w:jc w:val="center"/>
                      <w:rPr>
                        <w:rFonts w:asciiTheme="majorBidi" w:hAnsiTheme="majorBidi" w:cstheme="majorBidi"/>
                        <w:sz w:val="24"/>
                        <w:szCs w:val="24"/>
                      </w:rPr>
                    </w:pPr>
                    <w:r>
                      <w:rPr>
                        <w:rFonts w:asciiTheme="majorBidi" w:hAnsiTheme="majorBidi" w:cstheme="majorBidi"/>
                        <w:sz w:val="24"/>
                        <w:szCs w:val="24"/>
                      </w:rPr>
                      <w:t>Physical</w:t>
                    </w:r>
                  </w:p>
                </w:txbxContent>
              </v:textbox>
            </v:rect>
            <v:rect id="_x0000_s1029" style="position:absolute;left:6358;top:11541;width:1628;height:660" fillcolor="#ff9">
              <v:textbox style="mso-next-textbox:#_x0000_s1029" inset=",0">
                <w:txbxContent>
                  <w:p w:rsidR="007E419D" w:rsidRDefault="007E419D" w:rsidP="007E419D">
                    <w:pPr>
                      <w:spacing w:before="120"/>
                      <w:jc w:val="center"/>
                      <w:rPr>
                        <w:rFonts w:asciiTheme="majorBidi" w:hAnsiTheme="majorBidi" w:cstheme="majorBidi"/>
                        <w:sz w:val="24"/>
                        <w:szCs w:val="24"/>
                      </w:rPr>
                    </w:pPr>
                    <w:r>
                      <w:rPr>
                        <w:rFonts w:asciiTheme="majorBidi" w:hAnsiTheme="majorBidi" w:cstheme="majorBidi"/>
                        <w:sz w:val="24"/>
                        <w:szCs w:val="24"/>
                      </w:rPr>
                      <w:t>Economic</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0" type="#_x0000_t13" style="position:absolute;left:3996;top:14513;width:580;height:206"/>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31" type="#_x0000_t66" style="position:absolute;left:8063;top:14415;width:329;height:206"/>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2" type="#_x0000_t67" style="position:absolute;left:7020;top:12206;width:207;height:379">
              <v:textbox style="layout-flow:vertical-ideographic"/>
            </v:shape>
            <v:rect id="_x0000_s1033" style="position:absolute;left:6578;top:14245;width:1471;height:691" fillcolor="#f6f">
              <v:textbox style="mso-next-textbox:#_x0000_s1033" inset=",0">
                <w:txbxContent>
                  <w:p w:rsidR="007E419D" w:rsidRDefault="007E419D" w:rsidP="007E419D">
                    <w:pPr>
                      <w:spacing w:before="120" w:after="0"/>
                      <w:jc w:val="center"/>
                      <w:rPr>
                        <w:rFonts w:asciiTheme="majorBidi" w:hAnsiTheme="majorBidi" w:cstheme="majorBidi"/>
                        <w:sz w:val="24"/>
                        <w:szCs w:val="24"/>
                      </w:rPr>
                    </w:pPr>
                    <w:r>
                      <w:rPr>
                        <w:rFonts w:asciiTheme="majorBidi" w:hAnsiTheme="majorBidi" w:cstheme="majorBidi"/>
                        <w:sz w:val="24"/>
                        <w:szCs w:val="24"/>
                      </w:rPr>
                      <w:t>Social</w:t>
                    </w:r>
                  </w:p>
                </w:txbxContent>
              </v:textbox>
            </v:rect>
            <v:shape id="_x0000_s1034" type="#_x0000_t67" style="position:absolute;left:5196;top:12215;width:207;height:370">
              <v:textbox style="layout-flow:vertical-ideographic"/>
            </v:shape>
            <v:rect id="_x0000_s1035" style="position:absolute;left:4570;top:14253;width:1788;height:683" fillcolor="#cfc">
              <v:textbox style="mso-next-textbox:#_x0000_s1035" inset=",0">
                <w:txbxContent>
                  <w:p w:rsidR="007E419D" w:rsidRDefault="007E419D" w:rsidP="007E419D">
                    <w:pPr>
                      <w:spacing w:before="120" w:after="0"/>
                      <w:jc w:val="center"/>
                      <w:rPr>
                        <w:rFonts w:asciiTheme="majorBidi" w:hAnsiTheme="majorBidi" w:cstheme="majorBidi"/>
                        <w:sz w:val="24"/>
                        <w:szCs w:val="24"/>
                      </w:rPr>
                    </w:pPr>
                    <w:r>
                      <w:rPr>
                        <w:rFonts w:asciiTheme="majorBidi" w:hAnsiTheme="majorBidi" w:cstheme="majorBidi"/>
                        <w:sz w:val="24"/>
                        <w:szCs w:val="24"/>
                      </w:rPr>
                      <w:t>Environmental</w:t>
                    </w:r>
                  </w:p>
                </w:txbxContent>
              </v:textbox>
            </v:rect>
            <v:shape id="_x0000_s1036" type="#_x0000_t67" style="position:absolute;left:7101;top:13852;width:190;height:391;rotation:180">
              <v:textbox style="layout-flow:vertical-ideographic"/>
            </v:shape>
            <v:shape id="_x0000_s1037" type="#_x0000_t67" style="position:absolute;left:5504;top:13819;width:190;height:420;rotation:180">
              <v:textbox style="layout-flow:vertical-ideographic"/>
            </v:shape>
            <v:shape id="_x0000_s1038" type="#_x0000_t13" style="position:absolute;left:3985;top:11748;width:673;height:206"/>
            <v:shape id="_x0000_s1039" type="#_x0000_t66" style="position:absolute;left:7986;top:11807;width:378;height:203"/>
            <v:rect id="_x0000_s1040" style="position:absolute;left:1918;top:11046;width:2385;height:2629" filled="f" stroked="f">
              <v:textbox style="mso-next-textbox:#_x0000_s1040" inset="0,0,0,0">
                <w:txbxContent>
                  <w:tbl>
                    <w:tblPr>
                      <w:tblStyle w:val="TableGrid"/>
                      <w:tblW w:w="2178" w:type="dxa"/>
                      <w:tblLook w:val="04A0"/>
                    </w:tblPr>
                    <w:tblGrid>
                      <w:gridCol w:w="2178"/>
                    </w:tblGrid>
                    <w:tr w:rsidR="007E419D">
                      <w:trPr>
                        <w:trHeight w:val="531"/>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vAlign w:val="center"/>
                          <w:hideMark/>
                        </w:tcPr>
                        <w:p w:rsidR="007E419D" w:rsidRDefault="007E419D" w:rsidP="003037B7">
                          <w:pPr>
                            <w:pStyle w:val="ListParagraph"/>
                            <w:numPr>
                              <w:ilvl w:val="0"/>
                              <w:numId w:val="1"/>
                            </w:numPr>
                            <w:ind w:left="270" w:hanging="270"/>
                            <w:rPr>
                              <w:rFonts w:asciiTheme="majorBidi" w:hAnsiTheme="majorBidi" w:cstheme="majorBidi"/>
                              <w:sz w:val="24"/>
                              <w:szCs w:val="24"/>
                            </w:rPr>
                          </w:pPr>
                          <w:r>
                            <w:rPr>
                              <w:rFonts w:asciiTheme="majorBidi" w:hAnsiTheme="majorBidi" w:cstheme="majorBidi"/>
                              <w:sz w:val="24"/>
                              <w:szCs w:val="24"/>
                            </w:rPr>
                            <w:t>Operating System</w:t>
                          </w:r>
                        </w:p>
                      </w:tc>
                    </w:tr>
                    <w:tr w:rsidR="007E419D">
                      <w:trPr>
                        <w:trHeight w:val="441"/>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vAlign w:val="center"/>
                          <w:hideMark/>
                        </w:tcPr>
                        <w:p w:rsidR="007E419D" w:rsidRDefault="007E419D" w:rsidP="003037B7">
                          <w:pPr>
                            <w:pStyle w:val="ListParagraph"/>
                            <w:numPr>
                              <w:ilvl w:val="0"/>
                              <w:numId w:val="1"/>
                            </w:numPr>
                            <w:ind w:left="270" w:hanging="270"/>
                            <w:rPr>
                              <w:rFonts w:asciiTheme="majorBidi" w:hAnsiTheme="majorBidi" w:cstheme="majorBidi"/>
                              <w:sz w:val="24"/>
                              <w:szCs w:val="24"/>
                            </w:rPr>
                          </w:pPr>
                          <w:r>
                            <w:rPr>
                              <w:rFonts w:asciiTheme="majorBidi" w:hAnsiTheme="majorBidi" w:cstheme="majorBidi"/>
                              <w:sz w:val="24"/>
                              <w:szCs w:val="24"/>
                            </w:rPr>
                            <w:t>Repairing System</w:t>
                          </w:r>
                        </w:p>
                      </w:tc>
                    </w:tr>
                    <w:tr w:rsidR="007E419D">
                      <w:trPr>
                        <w:trHeight w:val="441"/>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vAlign w:val="center"/>
                          <w:hideMark/>
                        </w:tcPr>
                        <w:p w:rsidR="007E419D" w:rsidRDefault="007E419D" w:rsidP="003037B7">
                          <w:pPr>
                            <w:pStyle w:val="ListParagraph"/>
                            <w:numPr>
                              <w:ilvl w:val="0"/>
                              <w:numId w:val="1"/>
                            </w:numPr>
                            <w:ind w:left="270" w:hanging="270"/>
                            <w:rPr>
                              <w:rFonts w:asciiTheme="majorBidi" w:hAnsiTheme="majorBidi" w:cstheme="majorBidi"/>
                              <w:sz w:val="24"/>
                              <w:szCs w:val="24"/>
                            </w:rPr>
                          </w:pPr>
                          <w:r>
                            <w:rPr>
                              <w:rFonts w:asciiTheme="majorBidi" w:hAnsiTheme="majorBidi" w:cstheme="majorBidi"/>
                              <w:sz w:val="24"/>
                              <w:szCs w:val="24"/>
                            </w:rPr>
                            <w:t>Functioning System</w:t>
                          </w:r>
                        </w:p>
                      </w:tc>
                    </w:tr>
                    <w:tr w:rsidR="007E419D">
                      <w:trPr>
                        <w:trHeight w:val="711"/>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vAlign w:val="center"/>
                          <w:hideMark/>
                        </w:tcPr>
                        <w:p w:rsidR="007E419D" w:rsidRDefault="007E419D" w:rsidP="003037B7">
                          <w:pPr>
                            <w:pStyle w:val="ListParagraph"/>
                            <w:numPr>
                              <w:ilvl w:val="0"/>
                              <w:numId w:val="1"/>
                            </w:numPr>
                            <w:ind w:left="270" w:hanging="270"/>
                            <w:rPr>
                              <w:rFonts w:asciiTheme="majorBidi" w:hAnsiTheme="majorBidi" w:cstheme="majorBidi"/>
                              <w:sz w:val="24"/>
                              <w:szCs w:val="24"/>
                            </w:rPr>
                          </w:pPr>
                          <w:r>
                            <w:rPr>
                              <w:rFonts w:asciiTheme="majorBidi" w:hAnsiTheme="majorBidi" w:cstheme="majorBidi"/>
                              <w:sz w:val="24"/>
                              <w:szCs w:val="24"/>
                            </w:rPr>
                            <w:t>Leakage Controlling System</w:t>
                          </w:r>
                        </w:p>
                      </w:tc>
                    </w:tr>
                  </w:tbl>
                  <w:p w:rsidR="007E419D" w:rsidRDefault="007E419D" w:rsidP="007E419D">
                    <w:pPr>
                      <w:rPr>
                        <w:rFonts w:asciiTheme="majorBidi" w:hAnsiTheme="majorBidi" w:cstheme="majorBidi"/>
                        <w:sz w:val="24"/>
                        <w:szCs w:val="24"/>
                      </w:rPr>
                    </w:pPr>
                  </w:p>
                </w:txbxContent>
              </v:textbox>
            </v:rect>
            <v:rect id="_x0000_s1041" style="position:absolute;left:8350;top:11054;width:2332;height:2568" filled="f" stroked="f">
              <v:textbox style="mso-next-textbox:#_x0000_s1041">
                <w:txbxContent>
                  <w:tbl>
                    <w:tblPr>
                      <w:tblStyle w:val="TableGrid"/>
                      <w:tblW w:w="2125" w:type="dxa"/>
                      <w:tblLook w:val="04A0"/>
                    </w:tblPr>
                    <w:tblGrid>
                      <w:gridCol w:w="2125"/>
                    </w:tblGrid>
                    <w:tr w:rsidR="007E419D">
                      <w:trPr>
                        <w:trHeight w:val="551"/>
                      </w:trPr>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vAlign w:val="center"/>
                          <w:hideMark/>
                        </w:tcPr>
                        <w:p w:rsidR="007E419D" w:rsidRDefault="007E419D" w:rsidP="003037B7">
                          <w:pPr>
                            <w:pStyle w:val="ListParagraph"/>
                            <w:numPr>
                              <w:ilvl w:val="0"/>
                              <w:numId w:val="2"/>
                            </w:numPr>
                            <w:ind w:left="270" w:hanging="270"/>
                            <w:rPr>
                              <w:rFonts w:asciiTheme="majorBidi" w:hAnsiTheme="majorBidi" w:cstheme="majorBidi"/>
                              <w:sz w:val="24"/>
                              <w:szCs w:val="24"/>
                            </w:rPr>
                          </w:pPr>
                          <w:r>
                            <w:rPr>
                              <w:rFonts w:asciiTheme="majorBidi" w:hAnsiTheme="majorBidi" w:cstheme="majorBidi"/>
                              <w:sz w:val="24"/>
                              <w:szCs w:val="24"/>
                            </w:rPr>
                            <w:t>Source of Fund</w:t>
                          </w:r>
                        </w:p>
                      </w:tc>
                    </w:tr>
                    <w:tr w:rsidR="007E419D">
                      <w:trPr>
                        <w:trHeight w:val="530"/>
                      </w:trPr>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vAlign w:val="center"/>
                          <w:hideMark/>
                        </w:tcPr>
                        <w:p w:rsidR="007E419D" w:rsidRDefault="007E419D" w:rsidP="003037B7">
                          <w:pPr>
                            <w:pStyle w:val="ListParagraph"/>
                            <w:numPr>
                              <w:ilvl w:val="0"/>
                              <w:numId w:val="2"/>
                            </w:numPr>
                            <w:ind w:left="270" w:hanging="270"/>
                            <w:rPr>
                              <w:rFonts w:asciiTheme="majorBidi" w:hAnsiTheme="majorBidi" w:cstheme="majorBidi"/>
                              <w:sz w:val="24"/>
                              <w:szCs w:val="24"/>
                            </w:rPr>
                          </w:pPr>
                          <w:r>
                            <w:rPr>
                              <w:rFonts w:asciiTheme="majorBidi" w:hAnsiTheme="majorBidi" w:cstheme="majorBidi"/>
                              <w:sz w:val="24"/>
                              <w:szCs w:val="24"/>
                            </w:rPr>
                            <w:t>Fund Mobilization</w:t>
                          </w:r>
                        </w:p>
                      </w:tc>
                    </w:tr>
                    <w:tr w:rsidR="007E419D">
                      <w:trPr>
                        <w:trHeight w:val="551"/>
                      </w:trPr>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vAlign w:val="center"/>
                          <w:hideMark/>
                        </w:tcPr>
                        <w:p w:rsidR="007E419D" w:rsidRDefault="007E419D" w:rsidP="003037B7">
                          <w:pPr>
                            <w:pStyle w:val="ListParagraph"/>
                            <w:numPr>
                              <w:ilvl w:val="0"/>
                              <w:numId w:val="2"/>
                            </w:numPr>
                            <w:ind w:left="270" w:hanging="270"/>
                            <w:rPr>
                              <w:rFonts w:asciiTheme="majorBidi" w:hAnsiTheme="majorBidi" w:cstheme="majorBidi"/>
                              <w:sz w:val="24"/>
                              <w:szCs w:val="24"/>
                            </w:rPr>
                          </w:pPr>
                          <w:r>
                            <w:rPr>
                              <w:rFonts w:asciiTheme="majorBidi" w:hAnsiTheme="majorBidi" w:cstheme="majorBidi"/>
                              <w:sz w:val="24"/>
                              <w:szCs w:val="24"/>
                            </w:rPr>
                            <w:t>Cost of Water</w:t>
                          </w:r>
                        </w:p>
                      </w:tc>
                    </w:tr>
                    <w:tr w:rsidR="007E419D">
                      <w:trPr>
                        <w:trHeight w:val="551"/>
                      </w:trPr>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vAlign w:val="center"/>
                          <w:hideMark/>
                        </w:tcPr>
                        <w:p w:rsidR="007E419D" w:rsidRDefault="007E419D" w:rsidP="003037B7">
                          <w:pPr>
                            <w:pStyle w:val="ListParagraph"/>
                            <w:numPr>
                              <w:ilvl w:val="0"/>
                              <w:numId w:val="2"/>
                            </w:numPr>
                            <w:ind w:left="270" w:hanging="270"/>
                            <w:rPr>
                              <w:rFonts w:asciiTheme="majorBidi" w:hAnsiTheme="majorBidi" w:cstheme="majorBidi"/>
                              <w:sz w:val="24"/>
                              <w:szCs w:val="24"/>
                            </w:rPr>
                          </w:pPr>
                          <w:r>
                            <w:rPr>
                              <w:rFonts w:asciiTheme="majorBidi" w:hAnsiTheme="majorBidi" w:cstheme="majorBidi"/>
                              <w:sz w:val="24"/>
                              <w:szCs w:val="24"/>
                            </w:rPr>
                            <w:t>Bank Balance</w:t>
                          </w:r>
                        </w:p>
                      </w:tc>
                    </w:tr>
                  </w:tbl>
                  <w:p w:rsidR="007E419D" w:rsidRDefault="007E419D" w:rsidP="007E419D">
                    <w:pPr>
                      <w:rPr>
                        <w:sz w:val="20"/>
                        <w:szCs w:val="20"/>
                      </w:rPr>
                    </w:pPr>
                  </w:p>
                </w:txbxContent>
              </v:textbox>
            </v:rect>
            <v:rect id="_x0000_s1042" style="position:absolute;left:8350;top:13749;width:2427;height:1906" filled="f" stroked="f">
              <v:textbox style="mso-next-textbox:#_x0000_s1042">
                <w:txbxContent>
                  <w:tbl>
                    <w:tblPr>
                      <w:tblStyle w:val="TableGrid"/>
                      <w:tblW w:w="2166" w:type="dxa"/>
                      <w:tblLook w:val="04A0"/>
                    </w:tblPr>
                    <w:tblGrid>
                      <w:gridCol w:w="2166"/>
                    </w:tblGrid>
                    <w:tr w:rsidR="007E419D">
                      <w:trPr>
                        <w:trHeight w:val="462"/>
                      </w:trPr>
                      <w:tc>
                        <w:tcPr>
                          <w:tcW w:w="21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vAlign w:val="center"/>
                          <w:hideMark/>
                        </w:tcPr>
                        <w:p w:rsidR="007E419D" w:rsidRDefault="007E419D" w:rsidP="003037B7">
                          <w:pPr>
                            <w:pStyle w:val="ListParagraph"/>
                            <w:numPr>
                              <w:ilvl w:val="0"/>
                              <w:numId w:val="3"/>
                            </w:numPr>
                            <w:ind w:left="270" w:hanging="270"/>
                            <w:rPr>
                              <w:rFonts w:asciiTheme="majorBidi" w:hAnsiTheme="majorBidi" w:cstheme="majorBidi"/>
                              <w:sz w:val="24"/>
                              <w:szCs w:val="24"/>
                            </w:rPr>
                          </w:pPr>
                          <w:r>
                            <w:rPr>
                              <w:rFonts w:asciiTheme="majorBidi" w:hAnsiTheme="majorBidi" w:cstheme="majorBidi"/>
                              <w:sz w:val="24"/>
                              <w:szCs w:val="24"/>
                            </w:rPr>
                            <w:t>Participation</w:t>
                          </w:r>
                        </w:p>
                      </w:tc>
                    </w:tr>
                    <w:tr w:rsidR="007E419D">
                      <w:trPr>
                        <w:trHeight w:val="443"/>
                      </w:trPr>
                      <w:tc>
                        <w:tcPr>
                          <w:tcW w:w="21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vAlign w:val="center"/>
                          <w:hideMark/>
                        </w:tcPr>
                        <w:p w:rsidR="007E419D" w:rsidRDefault="007E419D" w:rsidP="003037B7">
                          <w:pPr>
                            <w:pStyle w:val="ListParagraph"/>
                            <w:numPr>
                              <w:ilvl w:val="0"/>
                              <w:numId w:val="3"/>
                            </w:numPr>
                            <w:ind w:left="270" w:hanging="270"/>
                            <w:rPr>
                              <w:rFonts w:asciiTheme="majorBidi" w:hAnsiTheme="majorBidi" w:cstheme="majorBidi"/>
                              <w:sz w:val="24"/>
                              <w:szCs w:val="24"/>
                            </w:rPr>
                          </w:pPr>
                          <w:r>
                            <w:rPr>
                              <w:rFonts w:asciiTheme="majorBidi" w:hAnsiTheme="majorBidi" w:cstheme="majorBidi"/>
                              <w:sz w:val="24"/>
                              <w:szCs w:val="24"/>
                            </w:rPr>
                            <w:t>Monitoring and Evaluation</w:t>
                          </w:r>
                        </w:p>
                      </w:tc>
                    </w:tr>
                    <w:tr w:rsidR="007E419D">
                      <w:trPr>
                        <w:trHeight w:val="462"/>
                      </w:trPr>
                      <w:tc>
                        <w:tcPr>
                          <w:tcW w:w="21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vAlign w:val="center"/>
                          <w:hideMark/>
                        </w:tcPr>
                        <w:p w:rsidR="007E419D" w:rsidRDefault="007E419D" w:rsidP="003037B7">
                          <w:pPr>
                            <w:pStyle w:val="ListParagraph"/>
                            <w:numPr>
                              <w:ilvl w:val="0"/>
                              <w:numId w:val="3"/>
                            </w:numPr>
                            <w:ind w:left="270" w:hanging="270"/>
                            <w:rPr>
                              <w:rFonts w:asciiTheme="majorBidi" w:hAnsiTheme="majorBidi" w:cstheme="majorBidi"/>
                              <w:sz w:val="24"/>
                              <w:szCs w:val="24"/>
                            </w:rPr>
                          </w:pPr>
                          <w:r>
                            <w:rPr>
                              <w:rFonts w:asciiTheme="majorBidi" w:hAnsiTheme="majorBidi" w:cstheme="majorBidi"/>
                              <w:sz w:val="24"/>
                              <w:szCs w:val="24"/>
                            </w:rPr>
                            <w:t>Health</w:t>
                          </w:r>
                        </w:p>
                      </w:tc>
                    </w:tr>
                  </w:tbl>
                  <w:p w:rsidR="007E419D" w:rsidRDefault="007E419D" w:rsidP="007E419D">
                    <w:pPr>
                      <w:rPr>
                        <w:sz w:val="20"/>
                        <w:szCs w:val="20"/>
                      </w:rPr>
                    </w:pPr>
                  </w:p>
                </w:txbxContent>
              </v:textbox>
            </v:rect>
            <v:rect id="_x0000_s1043" style="position:absolute;left:1775;top:13959;width:2235;height:1630" filled="f" stroked="f">
              <v:textbox style="mso-next-textbox:#_x0000_s1043">
                <w:txbxContent>
                  <w:tbl>
                    <w:tblPr>
                      <w:tblStyle w:val="TableGrid"/>
                      <w:tblW w:w="2178" w:type="dxa"/>
                      <w:tblLook w:val="04A0"/>
                    </w:tblPr>
                    <w:tblGrid>
                      <w:gridCol w:w="2178"/>
                    </w:tblGrid>
                    <w:tr w:rsidR="007E419D">
                      <w:trPr>
                        <w:trHeight w:val="444"/>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vAlign w:val="center"/>
                          <w:hideMark/>
                        </w:tcPr>
                        <w:p w:rsidR="007E419D" w:rsidRDefault="007E419D" w:rsidP="003037B7">
                          <w:pPr>
                            <w:pStyle w:val="ListParagraph"/>
                            <w:numPr>
                              <w:ilvl w:val="0"/>
                              <w:numId w:val="4"/>
                            </w:numPr>
                            <w:ind w:left="270" w:hanging="270"/>
                            <w:rPr>
                              <w:rFonts w:asciiTheme="majorBidi" w:hAnsiTheme="majorBidi" w:cstheme="majorBidi"/>
                              <w:sz w:val="24"/>
                              <w:szCs w:val="24"/>
                            </w:rPr>
                          </w:pPr>
                          <w:r>
                            <w:rPr>
                              <w:rFonts w:asciiTheme="majorBidi" w:hAnsiTheme="majorBidi" w:cstheme="majorBidi"/>
                              <w:sz w:val="24"/>
                              <w:szCs w:val="24"/>
                            </w:rPr>
                            <w:t>Awareness</w:t>
                          </w:r>
                        </w:p>
                      </w:tc>
                    </w:tr>
                    <w:tr w:rsidR="007E419D">
                      <w:trPr>
                        <w:trHeight w:val="426"/>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vAlign w:val="center"/>
                          <w:hideMark/>
                        </w:tcPr>
                        <w:p w:rsidR="007E419D" w:rsidRDefault="007E419D" w:rsidP="003037B7">
                          <w:pPr>
                            <w:pStyle w:val="ListParagraph"/>
                            <w:numPr>
                              <w:ilvl w:val="0"/>
                              <w:numId w:val="4"/>
                            </w:numPr>
                            <w:ind w:left="270" w:hanging="270"/>
                            <w:rPr>
                              <w:rFonts w:asciiTheme="majorBidi" w:hAnsiTheme="majorBidi" w:cstheme="majorBidi"/>
                              <w:sz w:val="24"/>
                              <w:szCs w:val="24"/>
                            </w:rPr>
                          </w:pPr>
                          <w:r>
                            <w:rPr>
                              <w:rFonts w:asciiTheme="majorBidi" w:hAnsiTheme="majorBidi" w:cstheme="majorBidi"/>
                              <w:sz w:val="24"/>
                              <w:szCs w:val="24"/>
                            </w:rPr>
                            <w:t>Exports</w:t>
                          </w:r>
                        </w:p>
                      </w:tc>
                    </w:tr>
                    <w:tr w:rsidR="007E419D">
                      <w:trPr>
                        <w:trHeight w:val="444"/>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vAlign w:val="center"/>
                          <w:hideMark/>
                        </w:tcPr>
                        <w:p w:rsidR="007E419D" w:rsidRDefault="007E419D" w:rsidP="003037B7">
                          <w:pPr>
                            <w:pStyle w:val="ListParagraph"/>
                            <w:numPr>
                              <w:ilvl w:val="0"/>
                              <w:numId w:val="4"/>
                            </w:numPr>
                            <w:ind w:left="270" w:hanging="270"/>
                            <w:rPr>
                              <w:rFonts w:asciiTheme="majorBidi" w:hAnsiTheme="majorBidi" w:cstheme="majorBidi"/>
                              <w:sz w:val="24"/>
                              <w:szCs w:val="24"/>
                            </w:rPr>
                          </w:pPr>
                          <w:r>
                            <w:rPr>
                              <w:rFonts w:asciiTheme="majorBidi" w:hAnsiTheme="majorBidi" w:cstheme="majorBidi"/>
                              <w:sz w:val="24"/>
                              <w:szCs w:val="24"/>
                            </w:rPr>
                            <w:t>Water Education</w:t>
                          </w:r>
                        </w:p>
                      </w:tc>
                    </w:tr>
                  </w:tbl>
                  <w:p w:rsidR="007E419D" w:rsidRDefault="007E419D" w:rsidP="007E419D"/>
                </w:txbxContent>
              </v:textbox>
            </v:rect>
          </v:group>
        </w:pict>
      </w:r>
      <w:r w:rsidR="007E419D">
        <w:rPr>
          <w:rFonts w:asciiTheme="majorBidi" w:hAnsiTheme="majorBidi" w:cstheme="majorBidi"/>
          <w:b/>
          <w:bCs/>
          <w:sz w:val="26"/>
          <w:szCs w:val="26"/>
        </w:rPr>
        <w:t>Figure 1: Conceptual Framework of the Study</w:t>
      </w:r>
    </w:p>
    <w:p w:rsidR="007E419D" w:rsidRDefault="007E419D" w:rsidP="007E419D">
      <w:pPr>
        <w:spacing w:before="120" w:after="120" w:line="360" w:lineRule="auto"/>
        <w:jc w:val="both"/>
        <w:rPr>
          <w:rFonts w:asciiTheme="majorBidi" w:hAnsiTheme="majorBidi" w:cstheme="majorBidi"/>
          <w:sz w:val="24"/>
          <w:szCs w:val="24"/>
        </w:rPr>
      </w:pPr>
    </w:p>
    <w:p w:rsidR="007E419D" w:rsidRDefault="007E419D" w:rsidP="007E419D">
      <w:pPr>
        <w:spacing w:before="120" w:after="120" w:line="360" w:lineRule="auto"/>
        <w:jc w:val="both"/>
        <w:rPr>
          <w:rFonts w:asciiTheme="majorBidi" w:hAnsiTheme="majorBidi" w:cstheme="majorBidi"/>
          <w:sz w:val="24"/>
          <w:szCs w:val="24"/>
        </w:rPr>
      </w:pPr>
    </w:p>
    <w:p w:rsidR="007E419D" w:rsidRDefault="007E419D" w:rsidP="007E419D">
      <w:pPr>
        <w:spacing w:before="120" w:after="120" w:line="360" w:lineRule="auto"/>
        <w:jc w:val="both"/>
        <w:rPr>
          <w:rFonts w:asciiTheme="majorBidi" w:hAnsiTheme="majorBidi" w:cstheme="majorBidi"/>
          <w:b/>
          <w:bCs/>
          <w:sz w:val="24"/>
          <w:szCs w:val="24"/>
        </w:rPr>
      </w:pPr>
    </w:p>
    <w:p w:rsidR="007E419D" w:rsidRDefault="007E419D" w:rsidP="007E419D">
      <w:pPr>
        <w:spacing w:before="120" w:after="120" w:line="360" w:lineRule="auto"/>
        <w:jc w:val="both"/>
        <w:rPr>
          <w:rFonts w:asciiTheme="majorBidi" w:hAnsiTheme="majorBidi" w:cstheme="majorBidi"/>
          <w:b/>
          <w:bCs/>
          <w:sz w:val="24"/>
          <w:szCs w:val="24"/>
        </w:rPr>
      </w:pPr>
    </w:p>
    <w:p w:rsidR="007E419D" w:rsidRDefault="007E419D" w:rsidP="007E419D">
      <w:pPr>
        <w:spacing w:before="120" w:after="120" w:line="360" w:lineRule="auto"/>
        <w:jc w:val="both"/>
        <w:rPr>
          <w:rFonts w:asciiTheme="majorBidi" w:hAnsiTheme="majorBidi" w:cstheme="majorBidi"/>
          <w:b/>
          <w:bCs/>
          <w:sz w:val="24"/>
          <w:szCs w:val="24"/>
        </w:rPr>
      </w:pPr>
    </w:p>
    <w:p w:rsidR="007E419D" w:rsidRDefault="007E419D" w:rsidP="007E419D">
      <w:pPr>
        <w:spacing w:before="120" w:after="120" w:line="360" w:lineRule="auto"/>
        <w:jc w:val="both"/>
        <w:rPr>
          <w:rFonts w:asciiTheme="majorBidi" w:hAnsiTheme="majorBidi" w:cstheme="majorBidi"/>
          <w:b/>
          <w:bCs/>
          <w:sz w:val="24"/>
          <w:szCs w:val="24"/>
        </w:rPr>
      </w:pPr>
    </w:p>
    <w:p w:rsidR="007E419D" w:rsidRDefault="007E419D" w:rsidP="007E419D">
      <w:pPr>
        <w:spacing w:before="120" w:after="120" w:line="360" w:lineRule="auto"/>
        <w:jc w:val="both"/>
        <w:rPr>
          <w:rFonts w:asciiTheme="majorBidi" w:hAnsiTheme="majorBidi" w:cstheme="majorBidi"/>
          <w:b/>
          <w:bCs/>
          <w:sz w:val="24"/>
          <w:szCs w:val="24"/>
        </w:rPr>
      </w:pPr>
    </w:p>
    <w:p w:rsidR="007E419D" w:rsidRDefault="007E419D" w:rsidP="007E419D">
      <w:pPr>
        <w:spacing w:before="120" w:after="120" w:line="360" w:lineRule="auto"/>
        <w:jc w:val="both"/>
        <w:rPr>
          <w:rFonts w:asciiTheme="majorBidi" w:hAnsiTheme="majorBidi" w:cstheme="majorBidi"/>
          <w:b/>
          <w:bCs/>
          <w:sz w:val="24"/>
          <w:szCs w:val="24"/>
        </w:rPr>
      </w:pPr>
    </w:p>
    <w:p w:rsidR="00256E3E" w:rsidRDefault="00256E3E"/>
    <w:p w:rsidR="00370121" w:rsidRDefault="00370121" w:rsidP="00370121">
      <w:pPr>
        <w:spacing w:before="120" w:after="120" w:line="360" w:lineRule="auto"/>
        <w:jc w:val="both"/>
        <w:rPr>
          <w:rFonts w:asciiTheme="majorBidi" w:hAnsiTheme="majorBidi" w:cstheme="majorBidi"/>
          <w:sz w:val="24"/>
          <w:szCs w:val="24"/>
        </w:rPr>
      </w:pPr>
      <w:r>
        <w:rPr>
          <w:rFonts w:asciiTheme="majorBidi" w:hAnsiTheme="majorBidi" w:cstheme="majorBidi"/>
          <w:b/>
          <w:bCs/>
          <w:sz w:val="26"/>
          <w:szCs w:val="26"/>
        </w:rPr>
        <w:t>REFERENCES</w:t>
      </w:r>
    </w:p>
    <w:p w:rsidR="00370121" w:rsidRDefault="00370121" w:rsidP="00370121">
      <w:pPr>
        <w:spacing w:before="240" w:after="240" w:line="360" w:lineRule="auto"/>
        <w:ind w:left="720" w:hanging="720"/>
        <w:jc w:val="both"/>
        <w:rPr>
          <w:rFonts w:asciiTheme="majorBidi" w:hAnsiTheme="majorBidi" w:cstheme="majorBidi"/>
          <w:sz w:val="24"/>
          <w:szCs w:val="24"/>
        </w:rPr>
      </w:pPr>
      <w:r>
        <w:rPr>
          <w:rFonts w:asciiTheme="majorBidi" w:hAnsiTheme="majorBidi" w:cstheme="majorBidi"/>
          <w:sz w:val="24"/>
          <w:szCs w:val="24"/>
        </w:rPr>
        <w:t xml:space="preserve"> [2] DDC report, (2011/2012). Annual district development report plan, Kathmandu.</w:t>
      </w:r>
    </w:p>
    <w:p w:rsidR="00370121" w:rsidRDefault="00370121" w:rsidP="00370121">
      <w:pPr>
        <w:spacing w:before="240" w:after="240" w:line="360" w:lineRule="auto"/>
        <w:ind w:left="720" w:hanging="720"/>
        <w:jc w:val="both"/>
        <w:rPr>
          <w:rFonts w:asciiTheme="majorBidi" w:hAnsiTheme="majorBidi" w:cstheme="majorBidi"/>
          <w:sz w:val="24"/>
          <w:szCs w:val="24"/>
        </w:rPr>
      </w:pPr>
      <w:r>
        <w:rPr>
          <w:rFonts w:asciiTheme="majorBidi" w:hAnsiTheme="majorBidi" w:cstheme="majorBidi"/>
          <w:sz w:val="24"/>
          <w:szCs w:val="24"/>
        </w:rPr>
        <w:t xml:space="preserve">[3] DWSS </w:t>
      </w:r>
      <w:proofErr w:type="gramStart"/>
      <w:r>
        <w:rPr>
          <w:rFonts w:asciiTheme="majorBidi" w:hAnsiTheme="majorBidi" w:cstheme="majorBidi"/>
          <w:sz w:val="24"/>
          <w:szCs w:val="24"/>
        </w:rPr>
        <w:t>( report</w:t>
      </w:r>
      <w:proofErr w:type="gramEnd"/>
      <w:r>
        <w:rPr>
          <w:rFonts w:asciiTheme="majorBidi" w:hAnsiTheme="majorBidi" w:cstheme="majorBidi"/>
          <w:sz w:val="24"/>
          <w:szCs w:val="24"/>
        </w:rPr>
        <w:t xml:space="preserve"> 2011). </w:t>
      </w:r>
      <w:proofErr w:type="gramStart"/>
      <w:r>
        <w:rPr>
          <w:rFonts w:asciiTheme="majorBidi" w:hAnsiTheme="majorBidi" w:cstheme="majorBidi"/>
          <w:sz w:val="24"/>
          <w:szCs w:val="24"/>
        </w:rPr>
        <w:t>National wide coverage and functionality status of water supply and Sanitation.</w:t>
      </w:r>
      <w:proofErr w:type="gramEnd"/>
      <w:r>
        <w:rPr>
          <w:rFonts w:asciiTheme="majorBidi" w:hAnsiTheme="majorBidi" w:cstheme="majorBidi"/>
          <w:sz w:val="24"/>
          <w:szCs w:val="24"/>
        </w:rPr>
        <w:t xml:space="preserve"> </w:t>
      </w:r>
    </w:p>
    <w:p w:rsidR="00370121" w:rsidRDefault="00370121" w:rsidP="00370121">
      <w:pPr>
        <w:spacing w:before="240" w:after="240" w:line="360" w:lineRule="auto"/>
        <w:ind w:left="720" w:hanging="720"/>
        <w:jc w:val="both"/>
        <w:rPr>
          <w:rFonts w:asciiTheme="majorBidi" w:hAnsiTheme="majorBidi" w:cstheme="majorBidi"/>
          <w:sz w:val="24"/>
          <w:szCs w:val="24"/>
        </w:rPr>
      </w:pPr>
      <w:r>
        <w:rPr>
          <w:rFonts w:asciiTheme="majorBidi" w:hAnsiTheme="majorBidi" w:cstheme="majorBidi"/>
          <w:sz w:val="24"/>
          <w:szCs w:val="24"/>
        </w:rPr>
        <w:t xml:space="preserve">[4] DWSS (report 2014). </w:t>
      </w:r>
      <w:proofErr w:type="gramStart"/>
      <w:r>
        <w:rPr>
          <w:rFonts w:asciiTheme="majorBidi" w:hAnsiTheme="majorBidi" w:cstheme="majorBidi"/>
          <w:sz w:val="24"/>
          <w:szCs w:val="24"/>
        </w:rPr>
        <w:t>National wide coverage and functionality status of water supply and Sanitation.</w:t>
      </w:r>
      <w:proofErr w:type="gramEnd"/>
    </w:p>
    <w:p w:rsidR="00370121" w:rsidRDefault="00370121" w:rsidP="00370121">
      <w:pPr>
        <w:spacing w:before="240" w:after="240" w:line="360" w:lineRule="auto"/>
        <w:ind w:left="720" w:hanging="720"/>
        <w:jc w:val="both"/>
        <w:rPr>
          <w:rFonts w:asciiTheme="majorBidi" w:hAnsiTheme="majorBidi" w:cstheme="majorBidi"/>
          <w:sz w:val="24"/>
          <w:szCs w:val="24"/>
        </w:rPr>
      </w:pPr>
      <w:r>
        <w:rPr>
          <w:rFonts w:asciiTheme="majorBidi" w:hAnsiTheme="majorBidi" w:cstheme="majorBidi"/>
          <w:sz w:val="24"/>
          <w:szCs w:val="24"/>
        </w:rPr>
        <w:t xml:space="preserve">[5] </w:t>
      </w:r>
      <w:proofErr w:type="spellStart"/>
      <w:r>
        <w:rPr>
          <w:rFonts w:asciiTheme="majorBidi" w:hAnsiTheme="majorBidi" w:cstheme="majorBidi"/>
          <w:sz w:val="24"/>
          <w:szCs w:val="24"/>
        </w:rPr>
        <w:t>Jenkens</w:t>
      </w:r>
      <w:proofErr w:type="spellEnd"/>
      <w:r>
        <w:rPr>
          <w:rFonts w:asciiTheme="majorBidi" w:hAnsiTheme="majorBidi" w:cstheme="majorBidi"/>
          <w:sz w:val="24"/>
          <w:szCs w:val="24"/>
        </w:rPr>
        <w:t xml:space="preserve">, W. (1987). </w:t>
      </w:r>
      <w:proofErr w:type="gramStart"/>
      <w:r>
        <w:rPr>
          <w:rFonts w:asciiTheme="majorBidi" w:hAnsiTheme="majorBidi" w:cstheme="majorBidi"/>
          <w:sz w:val="24"/>
          <w:szCs w:val="24"/>
        </w:rPr>
        <w:t>Sustainable theories, world Commission and environment Department, U.K.</w:t>
      </w:r>
      <w:proofErr w:type="gramEnd"/>
      <w:r>
        <w:rPr>
          <w:rFonts w:asciiTheme="majorBidi" w:hAnsiTheme="majorBidi" w:cstheme="majorBidi"/>
          <w:sz w:val="24"/>
          <w:szCs w:val="24"/>
        </w:rPr>
        <w:t xml:space="preserve"> New York: Oxford Press.</w:t>
      </w:r>
    </w:p>
    <w:p w:rsidR="00370121" w:rsidRDefault="00370121" w:rsidP="00370121">
      <w:pPr>
        <w:spacing w:before="240" w:after="240" w:line="360" w:lineRule="auto"/>
        <w:ind w:left="720" w:hanging="720"/>
        <w:jc w:val="both"/>
        <w:rPr>
          <w:rFonts w:asciiTheme="majorBidi" w:hAnsiTheme="majorBidi" w:cstheme="majorBidi"/>
          <w:sz w:val="24"/>
          <w:szCs w:val="24"/>
        </w:rPr>
      </w:pPr>
      <w:r>
        <w:rPr>
          <w:rFonts w:asciiTheme="majorBidi" w:hAnsiTheme="majorBidi" w:cstheme="majorBidi"/>
          <w:sz w:val="24"/>
          <w:szCs w:val="24"/>
        </w:rPr>
        <w:t xml:space="preserve"> [6] </w:t>
      </w:r>
      <w:proofErr w:type="spellStart"/>
      <w:r>
        <w:rPr>
          <w:rFonts w:asciiTheme="majorBidi" w:hAnsiTheme="majorBidi" w:cstheme="majorBidi"/>
          <w:sz w:val="24"/>
          <w:szCs w:val="24"/>
        </w:rPr>
        <w:t>Ghimire</w:t>
      </w:r>
      <w:proofErr w:type="spellEnd"/>
      <w:r>
        <w:rPr>
          <w:rFonts w:asciiTheme="majorBidi" w:hAnsiTheme="majorBidi" w:cstheme="majorBidi"/>
          <w:sz w:val="24"/>
          <w:szCs w:val="24"/>
        </w:rPr>
        <w:t xml:space="preserve">, M.P, (2011). </w:t>
      </w:r>
      <w:proofErr w:type="gramStart"/>
      <w:r>
        <w:rPr>
          <w:rFonts w:asciiTheme="majorBidi" w:hAnsiTheme="majorBidi" w:cstheme="majorBidi"/>
          <w:sz w:val="24"/>
          <w:szCs w:val="24"/>
        </w:rPr>
        <w:t>Drinking water supply widening Gap.</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volume-4</w:t>
      </w:r>
      <w:proofErr w:type="gramEnd"/>
      <w:r>
        <w:rPr>
          <w:rFonts w:asciiTheme="majorBidi" w:hAnsiTheme="majorBidi" w:cstheme="majorBidi"/>
          <w:sz w:val="24"/>
          <w:szCs w:val="24"/>
        </w:rPr>
        <w:t>)</w:t>
      </w:r>
    </w:p>
    <w:p w:rsidR="00370121" w:rsidRDefault="00370121" w:rsidP="00370121">
      <w:pPr>
        <w:spacing w:before="240" w:after="240" w:line="360" w:lineRule="auto"/>
        <w:ind w:left="720" w:hanging="720"/>
        <w:jc w:val="both"/>
        <w:rPr>
          <w:rFonts w:asciiTheme="majorBidi" w:hAnsiTheme="majorBidi" w:cstheme="majorBidi"/>
          <w:sz w:val="24"/>
          <w:szCs w:val="24"/>
        </w:rPr>
      </w:pPr>
      <w:r>
        <w:rPr>
          <w:rFonts w:asciiTheme="majorBidi" w:hAnsiTheme="majorBidi" w:cstheme="majorBidi"/>
          <w:sz w:val="24"/>
          <w:szCs w:val="24"/>
        </w:rPr>
        <w:t xml:space="preserve">[7] Grant, </w:t>
      </w:r>
      <w:proofErr w:type="spellStart"/>
      <w:r>
        <w:rPr>
          <w:rFonts w:asciiTheme="majorBidi" w:hAnsiTheme="majorBidi" w:cstheme="majorBidi"/>
          <w:sz w:val="24"/>
          <w:szCs w:val="24"/>
        </w:rPr>
        <w:t>B.and</w:t>
      </w:r>
      <w:proofErr w:type="spellEnd"/>
      <w:r>
        <w:rPr>
          <w:rFonts w:asciiTheme="majorBidi" w:hAnsiTheme="majorBidi" w:cstheme="majorBidi"/>
          <w:sz w:val="24"/>
          <w:szCs w:val="24"/>
        </w:rPr>
        <w:t xml:space="preserve"> Grant, N. (2007). User stratification and sustainability of drinking water Schemes in rural community Nepal</w:t>
      </w:r>
    </w:p>
    <w:p w:rsidR="00370121" w:rsidRPr="00370121" w:rsidRDefault="00370121" w:rsidP="00370121">
      <w:pPr>
        <w:spacing w:before="240" w:after="240" w:line="360" w:lineRule="auto"/>
        <w:jc w:val="both"/>
        <w:rPr>
          <w:rFonts w:asciiTheme="majorBidi" w:hAnsiTheme="majorBidi" w:cstheme="majorBidi"/>
          <w:sz w:val="24"/>
          <w:szCs w:val="24"/>
        </w:rPr>
      </w:pPr>
      <w:r>
        <w:rPr>
          <w:rFonts w:asciiTheme="majorBidi" w:hAnsiTheme="majorBidi" w:cstheme="majorBidi"/>
          <w:color w:val="000000" w:themeColor="text1"/>
          <w:sz w:val="24"/>
          <w:szCs w:val="24"/>
        </w:rPr>
        <w:t xml:space="preserve"> [8] RMN, (2014). </w:t>
      </w:r>
      <w:proofErr w:type="gramStart"/>
      <w:r>
        <w:rPr>
          <w:rFonts w:asciiTheme="majorBidi" w:hAnsiTheme="majorBidi" w:cstheme="majorBidi"/>
          <w:color w:val="000000" w:themeColor="text1"/>
          <w:sz w:val="24"/>
          <w:szCs w:val="24"/>
        </w:rPr>
        <w:t>Drinking water project.</w:t>
      </w:r>
      <w:proofErr w:type="gramEnd"/>
      <w:r>
        <w:rPr>
          <w:rFonts w:asciiTheme="majorBidi" w:hAnsiTheme="majorBidi" w:cstheme="majorBidi"/>
          <w:color w:val="000000" w:themeColor="text1"/>
          <w:sz w:val="24"/>
          <w:szCs w:val="24"/>
        </w:rPr>
        <w:t xml:space="preserve"> </w:t>
      </w:r>
      <w:proofErr w:type="gramStart"/>
      <w:r>
        <w:rPr>
          <w:rFonts w:asciiTheme="majorBidi" w:hAnsiTheme="majorBidi" w:cstheme="majorBidi"/>
          <w:color w:val="000000" w:themeColor="text1"/>
          <w:sz w:val="24"/>
          <w:szCs w:val="24"/>
        </w:rPr>
        <w:t xml:space="preserve">Available </w:t>
      </w:r>
      <w:hyperlink r:id="rId5" w:history="1">
        <w:r>
          <w:rPr>
            <w:rStyle w:val="Hyperlink"/>
            <w:rFonts w:asciiTheme="majorBidi" w:hAnsiTheme="majorBidi" w:cstheme="majorBidi"/>
            <w:sz w:val="24"/>
            <w:szCs w:val="24"/>
          </w:rPr>
          <w:t>www.nepalreviveministries.com</w:t>
        </w:r>
      </w:hyperlink>
      <w:r>
        <w:rPr>
          <w:rFonts w:asciiTheme="majorBidi" w:hAnsiTheme="majorBidi" w:cstheme="majorBidi"/>
          <w:color w:val="000000" w:themeColor="text1"/>
          <w:sz w:val="24"/>
          <w:szCs w:val="24"/>
        </w:rPr>
        <w:t>.</w:t>
      </w:r>
      <w:proofErr w:type="gramEnd"/>
    </w:p>
    <w:p w:rsidR="00370121" w:rsidRDefault="00370121"/>
    <w:sectPr w:rsidR="00370121" w:rsidSect="00505D11">
      <w:pgSz w:w="11909" w:h="16834" w:code="9"/>
      <w:pgMar w:top="1296" w:right="1296" w:bottom="1440" w:left="172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2D7414"/>
    <w:multiLevelType w:val="hybridMultilevel"/>
    <w:tmpl w:val="0674E4EE"/>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2A3A26F8"/>
    <w:multiLevelType w:val="hybridMultilevel"/>
    <w:tmpl w:val="8242C634"/>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32651037"/>
    <w:multiLevelType w:val="hybridMultilevel"/>
    <w:tmpl w:val="999C80A8"/>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44093D3E"/>
    <w:multiLevelType w:val="hybridMultilevel"/>
    <w:tmpl w:val="84C88A5E"/>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BA21CF"/>
    <w:rsid w:val="0003126E"/>
    <w:rsid w:val="000371B6"/>
    <w:rsid w:val="00256E3E"/>
    <w:rsid w:val="00370121"/>
    <w:rsid w:val="00464E66"/>
    <w:rsid w:val="004D4702"/>
    <w:rsid w:val="00505D11"/>
    <w:rsid w:val="005210F3"/>
    <w:rsid w:val="007E419D"/>
    <w:rsid w:val="009212F3"/>
    <w:rsid w:val="00A35332"/>
    <w:rsid w:val="00AC1EC8"/>
    <w:rsid w:val="00AE16A0"/>
    <w:rsid w:val="00B47535"/>
    <w:rsid w:val="00BA21CF"/>
    <w:rsid w:val="00EE23E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1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419D"/>
    <w:pPr>
      <w:ind w:left="720"/>
      <w:contextualSpacing/>
    </w:pPr>
  </w:style>
  <w:style w:type="table" w:styleId="TableGrid">
    <w:name w:val="Table Grid"/>
    <w:basedOn w:val="TableNormal"/>
    <w:uiPriority w:val="59"/>
    <w:rsid w:val="007E419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37012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48543508">
      <w:bodyDiv w:val="1"/>
      <w:marLeft w:val="0"/>
      <w:marRight w:val="0"/>
      <w:marTop w:val="0"/>
      <w:marBottom w:val="0"/>
      <w:divBdr>
        <w:top w:val="none" w:sz="0" w:space="0" w:color="auto"/>
        <w:left w:val="none" w:sz="0" w:space="0" w:color="auto"/>
        <w:bottom w:val="none" w:sz="0" w:space="0" w:color="auto"/>
        <w:right w:val="none" w:sz="0" w:space="0" w:color="auto"/>
      </w:divBdr>
    </w:div>
    <w:div w:id="315111953">
      <w:bodyDiv w:val="1"/>
      <w:marLeft w:val="0"/>
      <w:marRight w:val="0"/>
      <w:marTop w:val="0"/>
      <w:marBottom w:val="0"/>
      <w:divBdr>
        <w:top w:val="none" w:sz="0" w:space="0" w:color="auto"/>
        <w:left w:val="none" w:sz="0" w:space="0" w:color="auto"/>
        <w:bottom w:val="none" w:sz="0" w:space="0" w:color="auto"/>
        <w:right w:val="none" w:sz="0" w:space="0" w:color="auto"/>
      </w:divBdr>
    </w:div>
    <w:div w:id="843934979">
      <w:bodyDiv w:val="1"/>
      <w:marLeft w:val="0"/>
      <w:marRight w:val="0"/>
      <w:marTop w:val="0"/>
      <w:marBottom w:val="0"/>
      <w:divBdr>
        <w:top w:val="none" w:sz="0" w:space="0" w:color="auto"/>
        <w:left w:val="none" w:sz="0" w:space="0" w:color="auto"/>
        <w:bottom w:val="none" w:sz="0" w:space="0" w:color="auto"/>
        <w:right w:val="none" w:sz="0" w:space="0" w:color="auto"/>
      </w:divBdr>
    </w:div>
    <w:div w:id="1502961428">
      <w:bodyDiv w:val="1"/>
      <w:marLeft w:val="0"/>
      <w:marRight w:val="0"/>
      <w:marTop w:val="0"/>
      <w:marBottom w:val="0"/>
      <w:divBdr>
        <w:top w:val="none" w:sz="0" w:space="0" w:color="auto"/>
        <w:left w:val="none" w:sz="0" w:space="0" w:color="auto"/>
        <w:bottom w:val="none" w:sz="0" w:space="0" w:color="auto"/>
        <w:right w:val="none" w:sz="0" w:space="0" w:color="auto"/>
      </w:divBdr>
    </w:div>
    <w:div w:id="1876842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epalreviveministrie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498</Words>
  <Characters>2845</Characters>
  <Application>Microsoft Office Word</Application>
  <DocSecurity>0</DocSecurity>
  <Lines>23</Lines>
  <Paragraphs>6</Paragraphs>
  <ScaleCrop>false</ScaleCrop>
  <Company/>
  <LinksUpToDate>false</LinksUpToDate>
  <CharactersWithSpaces>3337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 Chemjong</dc:creator>
  <cp:lastModifiedBy>Lila Chemjong</cp:lastModifiedBy>
  <cp:revision>6</cp:revision>
  <dcterms:created xsi:type="dcterms:W3CDTF">2017-03-07T05:48:00Z</dcterms:created>
  <dcterms:modified xsi:type="dcterms:W3CDTF">2017-03-07T12:46:00Z</dcterms:modified>
</cp:coreProperties>
</file>