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020" w:rsidRPr="007F5020" w:rsidRDefault="007F5020" w:rsidP="007F5020">
      <w:pPr>
        <w:pStyle w:val="Heading1"/>
        <w:spacing w:before="170"/>
        <w:ind w:left="0"/>
        <w:rPr>
          <w:color w:val="337AB7"/>
        </w:rPr>
      </w:pPr>
      <w:r w:rsidRPr="007F5020">
        <w:rPr>
          <w:color w:val="337AB7"/>
        </w:rPr>
        <w:t>Estimation of Maximum Scour Depth near A Spur Dike</w:t>
      </w:r>
    </w:p>
    <w:p w:rsidR="00836EC8" w:rsidRDefault="007F5020" w:rsidP="005973B9">
      <w:pPr>
        <w:pStyle w:val="BodyText"/>
        <w:spacing w:before="73" w:line="198" w:lineRule="exact"/>
        <w:ind w:left="100" w:right="5987"/>
        <w:rPr>
          <w:rFonts w:ascii="Arial"/>
        </w:rPr>
      </w:pPr>
      <w:r>
        <w:rPr>
          <w:rFonts w:ascii="Arial"/>
        </w:rPr>
        <w:t xml:space="preserve">Manish </w:t>
      </w:r>
      <w:r w:rsidR="005422E7">
        <w:rPr>
          <w:rFonts w:ascii="Arial"/>
        </w:rPr>
        <w:t>P</w:t>
      </w:r>
      <w:r>
        <w:rPr>
          <w:rFonts w:ascii="Arial"/>
        </w:rPr>
        <w:t>andey</w:t>
      </w:r>
      <w:r w:rsidR="005973B9">
        <w:rPr>
          <w:rFonts w:ascii="Arial"/>
        </w:rPr>
        <w:t xml:space="preserve">, </w:t>
      </w:r>
      <w:r>
        <w:rPr>
          <w:rFonts w:ascii="Arial"/>
        </w:rPr>
        <w:t>Research Scholar</w:t>
      </w:r>
      <w:r w:rsidR="005973B9">
        <w:rPr>
          <w:rFonts w:ascii="Arial"/>
        </w:rPr>
        <w:t xml:space="preserve">, </w:t>
      </w:r>
      <w:r w:rsidR="00836EC8">
        <w:rPr>
          <w:rFonts w:ascii="Arial"/>
        </w:rPr>
        <w:t>IIT Roorkee</w:t>
      </w:r>
      <w:r w:rsidR="005973B9">
        <w:rPr>
          <w:rFonts w:ascii="Arial"/>
        </w:rPr>
        <w:t xml:space="preserve">, </w:t>
      </w:r>
      <w:r w:rsidR="00836EC8">
        <w:rPr>
          <w:rFonts w:ascii="Arial"/>
        </w:rPr>
        <w:t>India</w:t>
      </w:r>
      <w:r w:rsidR="005973B9">
        <w:rPr>
          <w:rFonts w:ascii="Arial"/>
        </w:rPr>
        <w:t xml:space="preserve"> </w:t>
      </w:r>
    </w:p>
    <w:p w:rsidR="005422E7" w:rsidRDefault="00836EC8" w:rsidP="005973B9">
      <w:pPr>
        <w:pStyle w:val="BodyText"/>
        <w:spacing w:before="73" w:line="198" w:lineRule="exact"/>
        <w:ind w:left="100" w:right="5987"/>
        <w:rPr>
          <w:rFonts w:ascii="Arial"/>
        </w:rPr>
      </w:pPr>
      <w:r>
        <w:rPr>
          <w:rFonts w:ascii="Arial"/>
        </w:rPr>
        <w:t>Dr. P.K. Sharma</w:t>
      </w:r>
      <w:r w:rsidR="005973B9">
        <w:rPr>
          <w:rFonts w:ascii="Arial"/>
        </w:rPr>
        <w:t xml:space="preserve">, </w:t>
      </w:r>
      <w:r>
        <w:rPr>
          <w:rFonts w:ascii="Arial"/>
        </w:rPr>
        <w:t>Associate Professor</w:t>
      </w:r>
      <w:r w:rsidR="005973B9">
        <w:rPr>
          <w:rFonts w:ascii="Arial"/>
        </w:rPr>
        <w:t xml:space="preserve">, </w:t>
      </w:r>
      <w:r>
        <w:rPr>
          <w:rFonts w:ascii="Arial"/>
        </w:rPr>
        <w:t>IIT Roorkee, India</w:t>
      </w:r>
    </w:p>
    <w:p w:rsidR="005422E7" w:rsidRDefault="005422E7" w:rsidP="005422E7">
      <w:pPr>
        <w:pStyle w:val="BodyText"/>
        <w:spacing w:before="73" w:line="198" w:lineRule="exact"/>
        <w:ind w:left="100" w:right="5987"/>
        <w:rPr>
          <w:rFonts w:ascii="Arial"/>
        </w:rPr>
      </w:pPr>
      <w:r>
        <w:rPr>
          <w:rFonts w:ascii="Arial"/>
        </w:rPr>
        <w:t xml:space="preserve">Dr. </w:t>
      </w:r>
      <w:r>
        <w:rPr>
          <w:rFonts w:ascii="Arial"/>
        </w:rPr>
        <w:t>Z. Ahmad</w:t>
      </w:r>
      <w:r>
        <w:rPr>
          <w:rFonts w:ascii="Arial"/>
        </w:rPr>
        <w:t>, Professor, IIT Roorkee, India</w:t>
      </w:r>
    </w:p>
    <w:p w:rsidR="005422E7" w:rsidRDefault="005422E7" w:rsidP="005422E7">
      <w:pPr>
        <w:pStyle w:val="BodyText"/>
        <w:spacing w:before="73" w:line="198" w:lineRule="exact"/>
        <w:ind w:left="100" w:right="5987"/>
        <w:rPr>
          <w:rFonts w:ascii="Arial"/>
        </w:rPr>
      </w:pPr>
      <w:r>
        <w:rPr>
          <w:rFonts w:ascii="Arial"/>
        </w:rPr>
        <w:t>U.K. Singh</w:t>
      </w:r>
      <w:r w:rsidR="00CC3DE2">
        <w:rPr>
          <w:rFonts w:ascii="Arial"/>
        </w:rPr>
        <w:t xml:space="preserve">, </w:t>
      </w:r>
      <w:r w:rsidR="00CC3DE2">
        <w:rPr>
          <w:rFonts w:ascii="Arial"/>
        </w:rPr>
        <w:t>Research Scholar, IIT Roorkee,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2631EF" w:rsidRDefault="00D04C52" w:rsidP="00D04C52">
      <w:pPr>
        <w:pStyle w:val="Heading3"/>
        <w:spacing w:before="74"/>
        <w:jc w:val="both"/>
        <w:rPr>
          <w:rFonts w:ascii="Tw Cen MT" w:hAnsi="Tw Cen MT"/>
          <w:b w:val="0"/>
          <w:color w:val="000000" w:themeColor="text1"/>
          <w:sz w:val="18"/>
          <w:szCs w:val="18"/>
        </w:rPr>
      </w:pPr>
      <w:r w:rsidRPr="00D04C52">
        <w:rPr>
          <w:rFonts w:ascii="Tw Cen MT" w:hAnsi="Tw Cen MT"/>
          <w:b w:val="0"/>
          <w:color w:val="000000" w:themeColor="text1"/>
          <w:sz w:val="18"/>
          <w:szCs w:val="18"/>
        </w:rPr>
        <w:t>Scour is a natural phenomenon in river or streams caused by the erosive action of the flowing water on the bed and banks. Abutments undermines due to river bed erosion and scouring, which generally recognized as the main cause of abutment failure. Various equations</w:t>
      </w:r>
      <w:r w:rsidR="005461CE">
        <w:rPr>
          <w:rFonts w:ascii="Tw Cen MT" w:hAnsi="Tw Cen MT"/>
          <w:b w:val="0"/>
          <w:color w:val="000000" w:themeColor="text1"/>
          <w:sz w:val="18"/>
          <w:szCs w:val="18"/>
        </w:rPr>
        <w:t xml:space="preserve"> (</w:t>
      </w:r>
      <w:proofErr w:type="spellStart"/>
      <w:r w:rsidR="005461CE">
        <w:rPr>
          <w:rFonts w:ascii="Tw Cen MT" w:hAnsi="Tw Cen MT"/>
          <w:b w:val="0"/>
          <w:color w:val="000000" w:themeColor="text1"/>
          <w:sz w:val="18"/>
          <w:szCs w:val="18"/>
        </w:rPr>
        <w:t>Dey</w:t>
      </w:r>
      <w:proofErr w:type="spellEnd"/>
      <w:r w:rsidR="005461CE">
        <w:rPr>
          <w:rFonts w:ascii="Tw Cen MT" w:hAnsi="Tw Cen MT"/>
          <w:b w:val="0"/>
          <w:color w:val="000000" w:themeColor="text1"/>
          <w:sz w:val="18"/>
          <w:szCs w:val="18"/>
        </w:rPr>
        <w:t xml:space="preserve"> and </w:t>
      </w:r>
      <w:proofErr w:type="spellStart"/>
      <w:r w:rsidR="005461CE">
        <w:rPr>
          <w:rFonts w:ascii="Tw Cen MT" w:hAnsi="Tw Cen MT"/>
          <w:b w:val="0"/>
          <w:color w:val="000000" w:themeColor="text1"/>
          <w:sz w:val="18"/>
          <w:szCs w:val="18"/>
        </w:rPr>
        <w:t>Barbhuiya</w:t>
      </w:r>
      <w:proofErr w:type="spellEnd"/>
      <w:r w:rsidR="005461CE">
        <w:rPr>
          <w:rFonts w:ascii="Tw Cen MT" w:hAnsi="Tw Cen MT"/>
          <w:b w:val="0"/>
          <w:color w:val="000000" w:themeColor="text1"/>
          <w:sz w:val="18"/>
          <w:szCs w:val="18"/>
        </w:rPr>
        <w:t xml:space="preserve">, 2005; Nagy, 2004; Husain et al. 1998; Lim, 1994 and </w:t>
      </w:r>
      <w:proofErr w:type="spellStart"/>
      <w:r w:rsidR="005461CE">
        <w:rPr>
          <w:rFonts w:ascii="Tw Cen MT" w:hAnsi="Tw Cen MT"/>
          <w:b w:val="0"/>
          <w:color w:val="000000" w:themeColor="text1"/>
          <w:sz w:val="18"/>
          <w:szCs w:val="18"/>
        </w:rPr>
        <w:t>Frochlich</w:t>
      </w:r>
      <w:proofErr w:type="spellEnd"/>
      <w:r w:rsidR="005461CE">
        <w:rPr>
          <w:rFonts w:ascii="Tw Cen MT" w:hAnsi="Tw Cen MT"/>
          <w:b w:val="0"/>
          <w:color w:val="000000" w:themeColor="text1"/>
          <w:sz w:val="18"/>
          <w:szCs w:val="18"/>
        </w:rPr>
        <w:t xml:space="preserve">, 1989) </w:t>
      </w:r>
      <w:r w:rsidR="005461CE" w:rsidRPr="00D04C52">
        <w:rPr>
          <w:rFonts w:ascii="Tw Cen MT" w:hAnsi="Tw Cen MT"/>
          <w:b w:val="0"/>
          <w:color w:val="000000" w:themeColor="text1"/>
          <w:sz w:val="18"/>
          <w:szCs w:val="18"/>
        </w:rPr>
        <w:t>have</w:t>
      </w:r>
      <w:r w:rsidRPr="00D04C52">
        <w:rPr>
          <w:rFonts w:ascii="Tw Cen MT" w:hAnsi="Tw Cen MT"/>
          <w:b w:val="0"/>
          <w:color w:val="000000" w:themeColor="text1"/>
          <w:sz w:val="18"/>
          <w:szCs w:val="18"/>
        </w:rPr>
        <w:t xml:space="preserve"> been evolved in the literature for the estimati</w:t>
      </w:r>
      <w:r w:rsidR="00725D1B">
        <w:rPr>
          <w:rFonts w:ascii="Tw Cen MT" w:hAnsi="Tw Cen MT"/>
          <w:b w:val="0"/>
          <w:color w:val="000000" w:themeColor="text1"/>
          <w:sz w:val="18"/>
          <w:szCs w:val="18"/>
        </w:rPr>
        <w:t>on of maximum scour depth near an abutment</w:t>
      </w:r>
      <w:r w:rsidRPr="00D04C52">
        <w:rPr>
          <w:rFonts w:ascii="Tw Cen MT" w:hAnsi="Tw Cen MT"/>
          <w:b w:val="0"/>
          <w:color w:val="000000" w:themeColor="text1"/>
          <w:sz w:val="18"/>
          <w:szCs w:val="18"/>
        </w:rPr>
        <w:t xml:space="preserve">. In </w:t>
      </w:r>
      <w:r w:rsidR="00725D1B">
        <w:rPr>
          <w:rFonts w:ascii="Tw Cen MT" w:hAnsi="Tw Cen MT"/>
          <w:b w:val="0"/>
          <w:color w:val="000000" w:themeColor="text1"/>
          <w:sz w:val="18"/>
          <w:szCs w:val="18"/>
        </w:rPr>
        <w:t xml:space="preserve">the present </w:t>
      </w:r>
      <w:r w:rsidRPr="00D04C52">
        <w:rPr>
          <w:rFonts w:ascii="Tw Cen MT" w:hAnsi="Tw Cen MT"/>
          <w:b w:val="0"/>
          <w:color w:val="000000" w:themeColor="text1"/>
          <w:sz w:val="18"/>
          <w:szCs w:val="18"/>
        </w:rPr>
        <w:t>study, controlled experiment</w:t>
      </w:r>
      <w:r w:rsidR="000B42C5">
        <w:rPr>
          <w:rFonts w:ascii="Tw Cen MT" w:hAnsi="Tw Cen MT"/>
          <w:b w:val="0"/>
          <w:color w:val="000000" w:themeColor="text1"/>
          <w:sz w:val="18"/>
          <w:szCs w:val="18"/>
        </w:rPr>
        <w:t>s around vertical wall abutments</w:t>
      </w:r>
      <w:r w:rsidRPr="00D04C52">
        <w:rPr>
          <w:rFonts w:ascii="Tw Cen MT" w:hAnsi="Tw Cen MT"/>
          <w:b w:val="0"/>
          <w:color w:val="000000" w:themeColor="text1"/>
          <w:sz w:val="18"/>
          <w:szCs w:val="18"/>
        </w:rPr>
        <w:t xml:space="preserve"> have been carried out </w:t>
      </w:r>
      <w:r w:rsidR="00CC3A34">
        <w:rPr>
          <w:rFonts w:ascii="Tw Cen MT" w:hAnsi="Tw Cen MT"/>
          <w:b w:val="0"/>
          <w:color w:val="000000" w:themeColor="text1"/>
          <w:sz w:val="18"/>
          <w:szCs w:val="18"/>
        </w:rPr>
        <w:t>for estimating maximum scour depth</w:t>
      </w:r>
      <w:r w:rsidRPr="00D04C52">
        <w:rPr>
          <w:rFonts w:ascii="Tw Cen MT" w:hAnsi="Tw Cen MT"/>
          <w:b w:val="0"/>
          <w:color w:val="000000" w:themeColor="text1"/>
          <w:sz w:val="18"/>
          <w:szCs w:val="18"/>
        </w:rPr>
        <w:t>. The collected data in this study along with data of the previous investigators have been carried out on the scour near vertical wall abutment. The collected data in this study along with data of the previous investigators have been used to check the validity of the existing equations of estimation of maximum scour depth.</w:t>
      </w:r>
      <w:r w:rsidR="002631EF">
        <w:rPr>
          <w:rFonts w:ascii="Tw Cen MT" w:hAnsi="Tw Cen MT"/>
          <w:b w:val="0"/>
          <w:color w:val="000000" w:themeColor="text1"/>
          <w:sz w:val="18"/>
          <w:szCs w:val="18"/>
        </w:rPr>
        <w:t xml:space="preserve"> After statistical and graphical analysis</w:t>
      </w:r>
      <w:r w:rsidR="00B875C2">
        <w:rPr>
          <w:rFonts w:ascii="Tw Cen MT" w:hAnsi="Tw Cen MT"/>
          <w:b w:val="0"/>
          <w:color w:val="000000" w:themeColor="text1"/>
          <w:sz w:val="18"/>
          <w:szCs w:val="18"/>
        </w:rPr>
        <w:t xml:space="preserve">, </w:t>
      </w:r>
      <w:r w:rsidR="005461CE">
        <w:rPr>
          <w:rFonts w:ascii="Tw Cen MT" w:hAnsi="Tw Cen MT"/>
          <w:b w:val="0"/>
          <w:color w:val="000000" w:themeColor="text1"/>
          <w:sz w:val="18"/>
          <w:szCs w:val="18"/>
        </w:rPr>
        <w:t>it</w:t>
      </w:r>
      <w:r w:rsidR="00B875C2">
        <w:rPr>
          <w:rFonts w:ascii="Tw Cen MT" w:hAnsi="Tw Cen MT"/>
          <w:b w:val="0"/>
          <w:color w:val="000000" w:themeColor="text1"/>
          <w:sz w:val="18"/>
          <w:szCs w:val="18"/>
        </w:rPr>
        <w:t xml:space="preserve"> has been concluded by authors equation proposed by </w:t>
      </w:r>
      <w:proofErr w:type="spellStart"/>
      <w:r w:rsidR="00B875C2">
        <w:rPr>
          <w:rFonts w:ascii="Tw Cen MT" w:hAnsi="Tw Cen MT"/>
          <w:b w:val="0"/>
          <w:color w:val="000000" w:themeColor="text1"/>
          <w:sz w:val="18"/>
          <w:szCs w:val="18"/>
        </w:rPr>
        <w:t>Dey</w:t>
      </w:r>
      <w:proofErr w:type="spellEnd"/>
      <w:r w:rsidR="00B875C2">
        <w:rPr>
          <w:rFonts w:ascii="Tw Cen MT" w:hAnsi="Tw Cen MT"/>
          <w:b w:val="0"/>
          <w:color w:val="000000" w:themeColor="text1"/>
          <w:sz w:val="18"/>
          <w:szCs w:val="18"/>
        </w:rPr>
        <w:t xml:space="preserve"> and </w:t>
      </w:r>
      <w:proofErr w:type="spellStart"/>
      <w:r w:rsidR="00B875C2">
        <w:rPr>
          <w:rFonts w:ascii="Tw Cen MT" w:hAnsi="Tw Cen MT"/>
          <w:b w:val="0"/>
          <w:color w:val="000000" w:themeColor="text1"/>
          <w:sz w:val="18"/>
          <w:szCs w:val="18"/>
        </w:rPr>
        <w:t>Barbhuiya</w:t>
      </w:r>
      <w:proofErr w:type="spellEnd"/>
      <w:r w:rsidR="00B875C2">
        <w:rPr>
          <w:rFonts w:ascii="Tw Cen MT" w:hAnsi="Tw Cen MT"/>
          <w:b w:val="0"/>
          <w:color w:val="000000" w:themeColor="text1"/>
          <w:sz w:val="18"/>
          <w:szCs w:val="18"/>
        </w:rPr>
        <w:t xml:space="preserve"> (2005) gives good agreements between observed and computed values of maximum scour depth. </w:t>
      </w:r>
      <w:r w:rsidRPr="00D04C52">
        <w:rPr>
          <w:rFonts w:ascii="Tw Cen MT" w:hAnsi="Tw Cen MT"/>
          <w:b w:val="0"/>
          <w:color w:val="000000" w:themeColor="text1"/>
          <w:sz w:val="18"/>
          <w:szCs w:val="18"/>
        </w:rPr>
        <w:t xml:space="preserve">A new relationship is </w:t>
      </w:r>
      <w:r w:rsidR="005461CE">
        <w:rPr>
          <w:rFonts w:ascii="Tw Cen MT" w:hAnsi="Tw Cen MT"/>
          <w:b w:val="0"/>
          <w:color w:val="000000" w:themeColor="text1"/>
          <w:sz w:val="18"/>
          <w:szCs w:val="18"/>
        </w:rPr>
        <w:t xml:space="preserve">also proposed </w:t>
      </w:r>
      <w:r w:rsidRPr="00D04C52">
        <w:rPr>
          <w:rFonts w:ascii="Tw Cen MT" w:hAnsi="Tw Cen MT"/>
          <w:b w:val="0"/>
          <w:color w:val="000000" w:themeColor="text1"/>
          <w:sz w:val="18"/>
          <w:szCs w:val="18"/>
        </w:rPr>
        <w:t xml:space="preserve">to estimate the maximum scour depth around vertical wall abutment </w:t>
      </w:r>
      <w:r w:rsidR="002631EF">
        <w:rPr>
          <w:rFonts w:ascii="Tw Cen MT" w:hAnsi="Tw Cen MT"/>
          <w:b w:val="0"/>
          <w:color w:val="000000" w:themeColor="text1"/>
          <w:sz w:val="18"/>
          <w:szCs w:val="18"/>
        </w:rPr>
        <w:t xml:space="preserve">and this equation </w:t>
      </w:r>
      <w:r w:rsidRPr="00D04C52">
        <w:rPr>
          <w:rFonts w:ascii="Tw Cen MT" w:hAnsi="Tw Cen MT"/>
          <w:b w:val="0"/>
          <w:color w:val="000000" w:themeColor="text1"/>
          <w:sz w:val="18"/>
          <w:szCs w:val="18"/>
        </w:rPr>
        <w:t>gives better results as compared to the other existing equations.</w:t>
      </w:r>
    </w:p>
    <w:p w:rsidR="007F040F" w:rsidRDefault="007F040F" w:rsidP="007F040F">
      <w:pPr>
        <w:pStyle w:val="Heading3"/>
        <w:spacing w:before="74"/>
        <w:jc w:val="both"/>
      </w:pPr>
      <w:r>
        <w:rPr>
          <w:color w:val="BF5A14"/>
        </w:rPr>
        <w:t>Image</w:t>
      </w:r>
    </w:p>
    <w:p w:rsidR="006D57CF" w:rsidRPr="00FF1D09" w:rsidRDefault="006D57CF" w:rsidP="006D57CF">
      <w:pPr>
        <w:pStyle w:val="Default"/>
        <w:jc w:val="center"/>
        <w:rPr>
          <w:rFonts w:ascii="Times New Roman" w:hAnsi="Times New Roman" w:cs="Times New Roman"/>
          <w:u w:val="single" w:color="FFFFFF" w:themeColor="background1"/>
        </w:rPr>
      </w:pPr>
      <w:r>
        <w:rPr>
          <w:noProof/>
          <w:lang w:val="en-US"/>
        </w:rPr>
        <w:drawing>
          <wp:inline distT="0" distB="0" distL="0" distR="0" wp14:anchorId="0C099849" wp14:editId="6723EEF3">
            <wp:extent cx="2766662" cy="19897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8338" cy="2019707"/>
                    </a:xfrm>
                    <a:prstGeom prst="rect">
                      <a:avLst/>
                    </a:prstGeom>
                  </pic:spPr>
                </pic:pic>
              </a:graphicData>
            </a:graphic>
          </wp:inline>
        </w:drawing>
      </w:r>
    </w:p>
    <w:p w:rsidR="006D57CF" w:rsidRDefault="006D57CF" w:rsidP="006D57CF">
      <w:pPr>
        <w:pStyle w:val="Default"/>
        <w:rPr>
          <w:rFonts w:ascii="Tw Cen MT" w:eastAsia="Arial" w:hAnsi="Tw Cen MT" w:cs="Arial"/>
          <w:bCs/>
          <w:color w:val="000000" w:themeColor="text1"/>
          <w:sz w:val="18"/>
          <w:szCs w:val="18"/>
          <w:lang w:val="en-US"/>
        </w:rPr>
      </w:pPr>
      <w:r>
        <w:rPr>
          <w:rFonts w:ascii="Times New Roman" w:hAnsi="Times New Roman" w:cs="Times New Roman"/>
          <w:b/>
        </w:rPr>
        <w:t xml:space="preserve"> </w:t>
      </w:r>
      <w:r w:rsidRPr="006D57CF">
        <w:rPr>
          <w:rFonts w:ascii="Tw Cen MT" w:eastAsia="Arial" w:hAnsi="Tw Cen MT" w:cs="Arial"/>
          <w:bCs/>
          <w:color w:val="000000" w:themeColor="text1"/>
          <w:sz w:val="18"/>
          <w:szCs w:val="18"/>
          <w:lang w:val="en-US"/>
        </w:rPr>
        <w:t>Figure 1</w:t>
      </w:r>
      <w:r>
        <w:rPr>
          <w:rFonts w:ascii="Tw Cen MT" w:eastAsia="Arial" w:hAnsi="Tw Cen MT" w:cs="Arial"/>
          <w:bCs/>
          <w:color w:val="000000" w:themeColor="text1"/>
          <w:sz w:val="18"/>
          <w:szCs w:val="18"/>
          <w:lang w:val="en-US"/>
        </w:rPr>
        <w:t>:</w:t>
      </w:r>
      <w:r w:rsidRPr="006D57CF">
        <w:rPr>
          <w:rFonts w:ascii="Tw Cen MT" w:eastAsia="Arial" w:hAnsi="Tw Cen MT" w:cs="Arial"/>
          <w:bCs/>
          <w:color w:val="000000" w:themeColor="text1"/>
          <w:sz w:val="18"/>
          <w:szCs w:val="18"/>
          <w:lang w:val="en-US"/>
        </w:rPr>
        <w:t xml:space="preserve"> Vortex system around a vertical wall abutment (Kwan, 1984)</w:t>
      </w:r>
      <w:r w:rsidR="007F040F">
        <w:rPr>
          <w:rFonts w:ascii="Tw Cen MT" w:eastAsia="Arial" w:hAnsi="Tw Cen MT" w:cs="Arial"/>
          <w:bCs/>
          <w:color w:val="000000" w:themeColor="text1"/>
          <w:sz w:val="18"/>
          <w:szCs w:val="18"/>
          <w:lang w:val="en-US"/>
        </w:rPr>
        <w:t>.</w:t>
      </w:r>
    </w:p>
    <w:p w:rsidR="007F040F" w:rsidRPr="00665807" w:rsidRDefault="00C724B3" w:rsidP="007F040F">
      <w:pPr>
        <w:jc w:val="center"/>
        <w:rPr>
          <w:rFonts w:ascii="Times New Roman" w:hAnsi="Times New Roman" w:cs="Times New Roman"/>
          <w:b/>
          <w:sz w:val="24"/>
          <w:szCs w:val="24"/>
        </w:rPr>
      </w:pPr>
      <w:r w:rsidRPr="00665807">
        <w:rPr>
          <w:rFonts w:ascii="Times New Roman" w:hAnsi="Times New Roman" w:cs="Times New Roman"/>
          <w:sz w:val="24"/>
          <w:szCs w:val="24"/>
        </w:rPr>
        <w:object w:dxaOrig="24000" w:dyaOrig="18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5pt;height:180.85pt" o:ole="">
            <v:imagedata r:id="rId10" o:title=""/>
          </v:shape>
          <o:OLEObject Type="Embed" ProgID="Origin50.Graph" ShapeID="_x0000_i1025" DrawAspect="Content" ObjectID="_1548015779" r:id="rId11"/>
        </w:object>
      </w:r>
      <w:r w:rsidR="007F040F" w:rsidRPr="00665807">
        <w:rPr>
          <w:rFonts w:ascii="Times New Roman" w:hAnsi="Times New Roman" w:cs="Times New Roman"/>
          <w:b/>
          <w:sz w:val="24"/>
          <w:szCs w:val="24"/>
        </w:rPr>
        <w:t xml:space="preserve"> </w:t>
      </w:r>
    </w:p>
    <w:p w:rsidR="007F040F" w:rsidRPr="00C724B3" w:rsidRDefault="003D4812" w:rsidP="006D57CF">
      <w:pPr>
        <w:pStyle w:val="Default"/>
        <w:rPr>
          <w:rFonts w:ascii="Tw Cen MT" w:eastAsia="Arial" w:hAnsi="Tw Cen MT" w:cs="Arial"/>
          <w:bCs/>
          <w:color w:val="000000" w:themeColor="text1"/>
          <w:sz w:val="18"/>
          <w:szCs w:val="18"/>
          <w:lang w:val="en-US"/>
        </w:rPr>
      </w:pPr>
      <w:r>
        <w:rPr>
          <w:rFonts w:ascii="Tw Cen MT" w:eastAsia="Arial" w:hAnsi="Tw Cen MT" w:cs="Arial"/>
          <w:bCs/>
          <w:color w:val="000000" w:themeColor="text1"/>
          <w:sz w:val="18"/>
          <w:szCs w:val="18"/>
          <w:lang w:val="en-US"/>
        </w:rPr>
        <w:t>Figure 2:</w:t>
      </w:r>
      <w:r w:rsidR="007F040F" w:rsidRPr="003D4812">
        <w:rPr>
          <w:rFonts w:ascii="Tw Cen MT" w:eastAsia="Arial" w:hAnsi="Tw Cen MT" w:cs="Arial"/>
          <w:bCs/>
          <w:color w:val="000000" w:themeColor="text1"/>
          <w:sz w:val="18"/>
          <w:szCs w:val="18"/>
          <w:lang w:val="en-US"/>
        </w:rPr>
        <w:t xml:space="preserve"> Comparison between equation of </w:t>
      </w:r>
      <w:proofErr w:type="spellStart"/>
      <w:r w:rsidR="007F040F" w:rsidRPr="003D4812">
        <w:rPr>
          <w:rFonts w:ascii="Tw Cen MT" w:eastAsia="Arial" w:hAnsi="Tw Cen MT" w:cs="Arial"/>
          <w:bCs/>
          <w:color w:val="000000" w:themeColor="text1"/>
          <w:sz w:val="18"/>
          <w:szCs w:val="18"/>
          <w:lang w:val="en-US"/>
        </w:rPr>
        <w:t>Dey</w:t>
      </w:r>
      <w:proofErr w:type="spellEnd"/>
      <w:r w:rsidR="007F040F" w:rsidRPr="003D4812">
        <w:rPr>
          <w:rFonts w:ascii="Tw Cen MT" w:eastAsia="Arial" w:hAnsi="Tw Cen MT" w:cs="Arial"/>
          <w:bCs/>
          <w:color w:val="000000" w:themeColor="text1"/>
          <w:sz w:val="18"/>
          <w:szCs w:val="18"/>
          <w:lang w:val="en-US"/>
        </w:rPr>
        <w:t xml:space="preserve"> and </w:t>
      </w:r>
      <w:proofErr w:type="spellStart"/>
      <w:r w:rsidR="007F040F" w:rsidRPr="003D4812">
        <w:rPr>
          <w:rFonts w:ascii="Tw Cen MT" w:eastAsia="Arial" w:hAnsi="Tw Cen MT" w:cs="Arial"/>
          <w:bCs/>
          <w:color w:val="000000" w:themeColor="text1"/>
          <w:sz w:val="18"/>
          <w:szCs w:val="18"/>
          <w:lang w:val="en-US"/>
        </w:rPr>
        <w:t>Barbhuiya</w:t>
      </w:r>
      <w:proofErr w:type="spellEnd"/>
      <w:r w:rsidR="007F040F" w:rsidRPr="003D4812">
        <w:rPr>
          <w:rFonts w:ascii="Tw Cen MT" w:eastAsia="Arial" w:hAnsi="Tw Cen MT" w:cs="Arial"/>
          <w:bCs/>
          <w:color w:val="000000" w:themeColor="text1"/>
          <w:sz w:val="18"/>
          <w:szCs w:val="18"/>
          <w:lang w:val="en-US"/>
        </w:rPr>
        <w:t xml:space="preserve"> (2005) and present equation</w:t>
      </w:r>
      <w:r w:rsidR="00C724B3">
        <w:rPr>
          <w:rFonts w:ascii="Tw Cen MT" w:eastAsia="Arial" w:hAnsi="Tw Cen MT" w:cs="Arial"/>
          <w:bCs/>
          <w:color w:val="000000" w:themeColor="text1"/>
          <w:sz w:val="18"/>
          <w:szCs w:val="18"/>
          <w:lang w:val="en-US"/>
        </w:rPr>
        <w:t>.</w:t>
      </w:r>
    </w:p>
    <w:p w:rsidR="006D57CF" w:rsidRDefault="006D57CF" w:rsidP="00D04C52">
      <w:pPr>
        <w:pStyle w:val="Heading3"/>
        <w:spacing w:before="74"/>
        <w:jc w:val="both"/>
        <w:rPr>
          <w:rFonts w:ascii="Tw Cen MT" w:hAnsi="Tw Cen MT"/>
          <w:b w:val="0"/>
          <w:color w:val="000000" w:themeColor="text1"/>
          <w:sz w:val="18"/>
          <w:szCs w:val="18"/>
        </w:rPr>
      </w:pPr>
    </w:p>
    <w:p w:rsidR="002631EF" w:rsidRDefault="00A9710C" w:rsidP="00D04C52">
      <w:pPr>
        <w:pStyle w:val="Heading3"/>
        <w:spacing w:before="74"/>
        <w:jc w:val="both"/>
        <w:rPr>
          <w:rFonts w:ascii="Tw Cen MT" w:hAnsi="Tw Cen MT"/>
          <w:b w:val="0"/>
          <w:sz w:val="18"/>
          <w:szCs w:val="18"/>
        </w:rPr>
      </w:pPr>
      <w:r w:rsidRPr="00D04C52">
        <w:rPr>
          <w:rFonts w:ascii="Tw Cen MT" w:hAnsi="Tw Cen MT"/>
          <w:b w:val="0"/>
          <w:sz w:val="18"/>
          <w:szCs w:val="18"/>
        </w:rPr>
        <w:br w:type="column"/>
      </w:r>
    </w:p>
    <w:p w:rsidR="00AE3E37" w:rsidRDefault="00AE3E37">
      <w:pPr>
        <w:pStyle w:val="BodyText"/>
        <w:spacing w:before="2"/>
        <w:rPr>
          <w:rFonts w:ascii="Arial"/>
          <w:b/>
          <w:sz w:val="16"/>
        </w:rPr>
      </w:pPr>
    </w:p>
    <w:p w:rsidR="005973B9" w:rsidRDefault="007F5020" w:rsidP="005973B9">
      <w:pPr>
        <w:spacing w:line="204" w:lineRule="exact"/>
        <w:rPr>
          <w:rFonts w:ascii="Arial"/>
          <w:b/>
          <w:sz w:val="20"/>
        </w:rPr>
      </w:pPr>
      <w:r>
        <w:rPr>
          <w:rFonts w:ascii="Arial"/>
          <w:b/>
          <w:color w:val="BF5A14"/>
          <w:sz w:val="20"/>
        </w:rPr>
        <w:t>Recent Publications</w:t>
      </w:r>
    </w:p>
    <w:p w:rsidR="00C60F3B" w:rsidRPr="00C60F3B" w:rsidRDefault="00C60F3B" w:rsidP="00C60F3B">
      <w:pPr>
        <w:pStyle w:val="ListParagraph"/>
        <w:numPr>
          <w:ilvl w:val="0"/>
          <w:numId w:val="3"/>
        </w:numPr>
        <w:autoSpaceDE w:val="0"/>
        <w:autoSpaceDN w:val="0"/>
        <w:adjustRightInd w:val="0"/>
        <w:rPr>
          <w:rFonts w:ascii="Times New Roman" w:hAnsi="Times New Roman" w:cs="Times New Roman"/>
          <w:sz w:val="20"/>
          <w:szCs w:val="20"/>
        </w:rPr>
      </w:pPr>
      <w:r w:rsidRPr="00C60F3B">
        <w:rPr>
          <w:sz w:val="18"/>
        </w:rPr>
        <w:t>Baba, Y. et al. (2010), Flow and bed load dynamics around spur dyke in a compound channel. 11th International Symposium on River Sedimentation (ISRS), Stellenbosch, 1-11</w:t>
      </w:r>
      <w:r w:rsidRPr="00C60F3B">
        <w:rPr>
          <w:rFonts w:ascii="Times New Roman" w:hAnsi="Times New Roman" w:cs="Times New Roman"/>
          <w:sz w:val="20"/>
          <w:szCs w:val="20"/>
        </w:rPr>
        <w:t>.</w:t>
      </w:r>
    </w:p>
    <w:p w:rsidR="00C60F3B" w:rsidRPr="00C60F3B" w:rsidRDefault="00C60F3B" w:rsidP="00C60F3B">
      <w:pPr>
        <w:pStyle w:val="ListParagraph"/>
        <w:numPr>
          <w:ilvl w:val="0"/>
          <w:numId w:val="3"/>
        </w:numPr>
        <w:autoSpaceDE w:val="0"/>
        <w:autoSpaceDN w:val="0"/>
        <w:adjustRightInd w:val="0"/>
        <w:rPr>
          <w:sz w:val="18"/>
        </w:rPr>
      </w:pPr>
      <w:proofErr w:type="spellStart"/>
      <w:r w:rsidRPr="00C60F3B">
        <w:rPr>
          <w:sz w:val="18"/>
        </w:rPr>
        <w:t>Dey</w:t>
      </w:r>
      <w:proofErr w:type="spellEnd"/>
      <w:r w:rsidRPr="00C60F3B">
        <w:rPr>
          <w:sz w:val="18"/>
        </w:rPr>
        <w:t xml:space="preserve">, S. and </w:t>
      </w:r>
      <w:proofErr w:type="spellStart"/>
      <w:r w:rsidRPr="00C60F3B">
        <w:rPr>
          <w:sz w:val="18"/>
        </w:rPr>
        <w:t>Barbhuiya</w:t>
      </w:r>
      <w:proofErr w:type="spellEnd"/>
      <w:r w:rsidRPr="00C60F3B">
        <w:rPr>
          <w:sz w:val="18"/>
        </w:rPr>
        <w:t>, A. K.  (2005), Time variation of scour at abutments. Journal of Hydraulic Engineering, ASCE 131(1): 11-23.</w:t>
      </w:r>
    </w:p>
    <w:p w:rsidR="007A5733" w:rsidRPr="007A5733" w:rsidRDefault="00C60F3B" w:rsidP="0034025B">
      <w:pPr>
        <w:pStyle w:val="ListParagraph"/>
        <w:numPr>
          <w:ilvl w:val="0"/>
          <w:numId w:val="3"/>
        </w:numPr>
        <w:shd w:val="clear" w:color="auto" w:fill="FFFFFF"/>
        <w:spacing w:after="200"/>
        <w:rPr>
          <w:rFonts w:eastAsiaTheme="minorHAnsi"/>
          <w:noProof/>
          <w:sz w:val="20"/>
          <w:szCs w:val="20"/>
        </w:rPr>
      </w:pPr>
      <w:proofErr w:type="spellStart"/>
      <w:r w:rsidRPr="007A5733">
        <w:rPr>
          <w:sz w:val="18"/>
        </w:rPr>
        <w:t>Marson</w:t>
      </w:r>
      <w:proofErr w:type="spellEnd"/>
      <w:r w:rsidRPr="007A5733">
        <w:rPr>
          <w:sz w:val="18"/>
        </w:rPr>
        <w:t xml:space="preserve">, C., </w:t>
      </w:r>
      <w:proofErr w:type="spellStart"/>
      <w:r w:rsidRPr="007A5733">
        <w:rPr>
          <w:sz w:val="18"/>
        </w:rPr>
        <w:t>Fiorotto</w:t>
      </w:r>
      <w:proofErr w:type="spellEnd"/>
      <w:r w:rsidRPr="007A5733">
        <w:rPr>
          <w:sz w:val="18"/>
        </w:rPr>
        <w:t>, V. and Caroni. E. (2006), Clear water scour analysis around groins and bridge abutments. Taylor &amp; Francis Group plc, London, 1749-1775.</w:t>
      </w:r>
    </w:p>
    <w:p w:rsidR="007A5733" w:rsidRPr="007A5733" w:rsidRDefault="007A5733" w:rsidP="007A5733">
      <w:pPr>
        <w:pStyle w:val="ListParagraph"/>
        <w:numPr>
          <w:ilvl w:val="0"/>
          <w:numId w:val="3"/>
        </w:numPr>
        <w:autoSpaceDE w:val="0"/>
        <w:autoSpaceDN w:val="0"/>
        <w:adjustRightInd w:val="0"/>
        <w:rPr>
          <w:sz w:val="18"/>
        </w:rPr>
      </w:pPr>
      <w:r w:rsidRPr="007A5733">
        <w:rPr>
          <w:sz w:val="18"/>
        </w:rPr>
        <w:t xml:space="preserve">Nagy, H.M. (2004), Maximum depth of local scour near emerged vertical wall </w:t>
      </w:r>
      <w:r w:rsidR="007954B3">
        <w:rPr>
          <w:sz w:val="18"/>
        </w:rPr>
        <w:t>abutments</w:t>
      </w:r>
      <w:r w:rsidRPr="007A5733">
        <w:rPr>
          <w:sz w:val="18"/>
        </w:rPr>
        <w:t>. Alexandria Engineering Journal. 43: 819-830.</w:t>
      </w:r>
    </w:p>
    <w:p w:rsidR="007A5733" w:rsidRPr="007A5733" w:rsidRDefault="007A5733" w:rsidP="007A5733">
      <w:pPr>
        <w:pStyle w:val="ListParagraph"/>
        <w:numPr>
          <w:ilvl w:val="0"/>
          <w:numId w:val="3"/>
        </w:numPr>
        <w:autoSpaceDE w:val="0"/>
        <w:autoSpaceDN w:val="0"/>
        <w:adjustRightInd w:val="0"/>
        <w:rPr>
          <w:sz w:val="18"/>
        </w:rPr>
      </w:pPr>
      <w:proofErr w:type="spellStart"/>
      <w:r w:rsidRPr="007A5733">
        <w:rPr>
          <w:sz w:val="18"/>
        </w:rPr>
        <w:t>Rajurkar</w:t>
      </w:r>
      <w:proofErr w:type="spellEnd"/>
      <w:r w:rsidRPr="007A5733">
        <w:rPr>
          <w:sz w:val="18"/>
        </w:rPr>
        <w:t>, M. P. et al. (2009)</w:t>
      </w:r>
      <w:r w:rsidRPr="007A5733">
        <w:rPr>
          <w:sz w:val="18"/>
        </w:rPr>
        <w:t xml:space="preserve">, </w:t>
      </w:r>
      <w:proofErr w:type="gramStart"/>
      <w:r w:rsidRPr="007A5733">
        <w:rPr>
          <w:sz w:val="18"/>
        </w:rPr>
        <w:t>An</w:t>
      </w:r>
      <w:proofErr w:type="gramEnd"/>
      <w:r w:rsidRPr="007A5733">
        <w:rPr>
          <w:sz w:val="18"/>
        </w:rPr>
        <w:t xml:space="preserve"> expert system for predicting longitudinal dispersion coefficient in natural streams by using ANFIS. Expert Systems with Applications. 36: 8589–8596.</w:t>
      </w:r>
    </w:p>
    <w:p w:rsidR="007A5733" w:rsidRPr="007A5733" w:rsidRDefault="007A5733" w:rsidP="007A5733">
      <w:pPr>
        <w:pStyle w:val="ListParagraph"/>
        <w:numPr>
          <w:ilvl w:val="0"/>
          <w:numId w:val="3"/>
        </w:numPr>
        <w:autoSpaceDE w:val="0"/>
        <w:autoSpaceDN w:val="0"/>
        <w:adjustRightInd w:val="0"/>
        <w:rPr>
          <w:sz w:val="18"/>
        </w:rPr>
      </w:pPr>
      <w:proofErr w:type="spellStart"/>
      <w:r w:rsidRPr="007A5733">
        <w:rPr>
          <w:sz w:val="18"/>
        </w:rPr>
        <w:t>Talaat</w:t>
      </w:r>
      <w:proofErr w:type="spellEnd"/>
      <w:r w:rsidRPr="007A5733">
        <w:rPr>
          <w:sz w:val="18"/>
        </w:rPr>
        <w:t>, A. et al. 2009), Implementation of spur dikes to reduce bank erosion of temporary diversion channels during barrages construction. Australian Journal of Basic and Applied Sciences, 3(4): 3190-3205.</w:t>
      </w:r>
    </w:p>
    <w:p w:rsidR="00AE3E37" w:rsidRPr="008756E6" w:rsidRDefault="00AE3E37" w:rsidP="008756E6">
      <w:pPr>
        <w:tabs>
          <w:tab w:val="left" w:pos="384"/>
        </w:tabs>
        <w:ind w:right="117"/>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424" w:rsidRDefault="00B94424">
      <w:r>
        <w:separator/>
      </w:r>
    </w:p>
  </w:endnote>
  <w:endnote w:type="continuationSeparator" w:id="0">
    <w:p w:rsidR="00B94424" w:rsidRDefault="00B9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424" w:rsidRDefault="00B94424">
      <w:r>
        <w:separator/>
      </w:r>
    </w:p>
  </w:footnote>
  <w:footnote w:type="continuationSeparator" w:id="0">
    <w:p w:rsidR="00B94424" w:rsidRDefault="00B94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42C5"/>
    <w:rsid w:val="000E2911"/>
    <w:rsid w:val="00117FEC"/>
    <w:rsid w:val="001263DF"/>
    <w:rsid w:val="00164789"/>
    <w:rsid w:val="002631EF"/>
    <w:rsid w:val="00292ED9"/>
    <w:rsid w:val="00334046"/>
    <w:rsid w:val="003D4812"/>
    <w:rsid w:val="00404E5B"/>
    <w:rsid w:val="00414F7B"/>
    <w:rsid w:val="004355DC"/>
    <w:rsid w:val="004749B4"/>
    <w:rsid w:val="00494130"/>
    <w:rsid w:val="004F3523"/>
    <w:rsid w:val="005422E7"/>
    <w:rsid w:val="005461CE"/>
    <w:rsid w:val="005973B9"/>
    <w:rsid w:val="005B3A56"/>
    <w:rsid w:val="006060CE"/>
    <w:rsid w:val="0063497F"/>
    <w:rsid w:val="006D57CF"/>
    <w:rsid w:val="00725D1B"/>
    <w:rsid w:val="007954B3"/>
    <w:rsid w:val="007A5733"/>
    <w:rsid w:val="007F040F"/>
    <w:rsid w:val="007F5020"/>
    <w:rsid w:val="00836EC8"/>
    <w:rsid w:val="00873DF0"/>
    <w:rsid w:val="008756E6"/>
    <w:rsid w:val="009B2D44"/>
    <w:rsid w:val="00A07E82"/>
    <w:rsid w:val="00A9710C"/>
    <w:rsid w:val="00AE3E37"/>
    <w:rsid w:val="00B21A57"/>
    <w:rsid w:val="00B875C2"/>
    <w:rsid w:val="00B94424"/>
    <w:rsid w:val="00C33602"/>
    <w:rsid w:val="00C60F3B"/>
    <w:rsid w:val="00C724B3"/>
    <w:rsid w:val="00CC3A34"/>
    <w:rsid w:val="00CC3DE2"/>
    <w:rsid w:val="00CD6F55"/>
    <w:rsid w:val="00D04C52"/>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6B57A2-35CF-4366-90B3-FD990DE31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5461CE"/>
    <w:pPr>
      <w:widowControl/>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7CF"/>
    <w:pPr>
      <w:widowControl/>
      <w:autoSpaceDE w:val="0"/>
      <w:autoSpaceDN w:val="0"/>
      <w:adjustRightInd w:val="0"/>
    </w:pPr>
    <w:rPr>
      <w:rFonts w:ascii="Calibri" w:hAnsi="Calibri" w:cs="Calibri"/>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IITR</cp:lastModifiedBy>
  <cp:revision>2</cp:revision>
  <dcterms:created xsi:type="dcterms:W3CDTF">2017-02-07T18:06:00Z</dcterms:created>
  <dcterms:modified xsi:type="dcterms:W3CDTF">2017-02-07T18:06:00Z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