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97688" w:rsidP="00494130">
      <w:pPr>
        <w:pStyle w:val="Heading1"/>
        <w:spacing w:before="170"/>
        <w:ind w:left="0"/>
      </w:pPr>
      <w:r>
        <w:rPr>
          <w:color w:val="337AB7"/>
        </w:rPr>
        <w:t>Constraining g</w:t>
      </w:r>
      <w:r w:rsidR="005E4B3C">
        <w:rPr>
          <w:color w:val="337AB7"/>
        </w:rPr>
        <w:t xml:space="preserve">roundwater </w:t>
      </w:r>
      <w:r w:rsidR="0063726D">
        <w:rPr>
          <w:color w:val="337AB7"/>
        </w:rPr>
        <w:t xml:space="preserve">flow </w:t>
      </w:r>
      <w:r w:rsidR="005E4B3C">
        <w:rPr>
          <w:color w:val="337AB7"/>
        </w:rPr>
        <w:t>model uncertainty</w:t>
      </w:r>
      <w:r w:rsidR="00A9710C">
        <w:rPr>
          <w:color w:val="337AB7"/>
        </w:rPr>
        <w:t xml:space="preserve">: </w:t>
      </w:r>
      <w:r w:rsidR="00B04A79">
        <w:rPr>
          <w:color w:val="337AB7"/>
        </w:rPr>
        <w:t>Workflow</w:t>
      </w:r>
      <w:r w:rsidR="00A9710C">
        <w:rPr>
          <w:color w:val="337AB7"/>
        </w:rPr>
        <w:t xml:space="preserve"> and </w:t>
      </w:r>
      <w:r w:rsidR="00B04A79">
        <w:rPr>
          <w:color w:val="337AB7"/>
        </w:rPr>
        <w:t>application to deep low-permeable formations</w:t>
      </w:r>
    </w:p>
    <w:p w:rsidR="0060501D" w:rsidRDefault="005973B9" w:rsidP="005973B9">
      <w:pPr>
        <w:pStyle w:val="BodyText"/>
        <w:spacing w:before="73" w:line="198" w:lineRule="exact"/>
        <w:ind w:left="100" w:right="5987"/>
        <w:rPr>
          <w:rFonts w:ascii="Arial"/>
        </w:rPr>
      </w:pPr>
      <w:r>
        <w:rPr>
          <w:rFonts w:ascii="Arial"/>
        </w:rPr>
        <w:t>D</w:t>
      </w:r>
      <w:r w:rsidR="0060501D">
        <w:rPr>
          <w:rFonts w:ascii="Arial"/>
        </w:rPr>
        <w:t>irk Mallants</w:t>
      </w:r>
      <w:r>
        <w:rPr>
          <w:rFonts w:ascii="Arial"/>
        </w:rPr>
        <w:t xml:space="preserve">, PhD, </w:t>
      </w:r>
      <w:r w:rsidR="0060501D">
        <w:rPr>
          <w:rFonts w:ascii="Arial"/>
        </w:rPr>
        <w:t>CSIRO</w:t>
      </w:r>
      <w:r>
        <w:rPr>
          <w:rFonts w:ascii="Arial"/>
        </w:rPr>
        <w:t xml:space="preserve">, </w:t>
      </w:r>
      <w:r w:rsidR="0060501D">
        <w:rPr>
          <w:rFonts w:ascii="Arial"/>
        </w:rPr>
        <w:t>Australia</w:t>
      </w:r>
    </w:p>
    <w:p w:rsidR="005973B9" w:rsidRDefault="00C17AC5" w:rsidP="005973B9">
      <w:pPr>
        <w:pStyle w:val="BodyText"/>
        <w:spacing w:before="73" w:line="198" w:lineRule="exact"/>
        <w:ind w:left="100" w:right="5987"/>
        <w:rPr>
          <w:rFonts w:ascii="Arial"/>
        </w:rPr>
      </w:pPr>
      <w:r>
        <w:rPr>
          <w:rFonts w:ascii="Arial"/>
        </w:rPr>
        <w:t>Chris Turnadge</w:t>
      </w:r>
      <w:r w:rsidR="005973B9">
        <w:rPr>
          <w:rFonts w:ascii="Arial"/>
        </w:rPr>
        <w:t xml:space="preserve">, </w:t>
      </w:r>
      <w:r>
        <w:rPr>
          <w:rFonts w:ascii="Arial"/>
        </w:rPr>
        <w:t>CSIRO, Australia</w:t>
      </w:r>
    </w:p>
    <w:p w:rsidR="00C17AC5" w:rsidRDefault="00C17AC5" w:rsidP="005973B9">
      <w:pPr>
        <w:pStyle w:val="BodyText"/>
        <w:spacing w:before="73" w:line="198" w:lineRule="exact"/>
        <w:ind w:left="100" w:right="5987"/>
        <w:rPr>
          <w:rFonts w:ascii="Arial"/>
        </w:rPr>
      </w:pPr>
      <w:r>
        <w:rPr>
          <w:rFonts w:ascii="Arial"/>
        </w:rPr>
        <w:t xml:space="preserve">Stan Smith, </w:t>
      </w:r>
      <w:r w:rsidR="00DC2600">
        <w:rPr>
          <w:rFonts w:ascii="Arial"/>
        </w:rPr>
        <w:t>University</w:t>
      </w:r>
      <w:r w:rsidR="005A3DD8" w:rsidRPr="005A3DD8">
        <w:rPr>
          <w:rFonts w:ascii="Arial"/>
        </w:rPr>
        <w:t xml:space="preserve"> </w:t>
      </w:r>
      <w:r w:rsidR="005A3DD8">
        <w:rPr>
          <w:rFonts w:ascii="Arial"/>
        </w:rPr>
        <w:t>of Utah</w:t>
      </w:r>
      <w:r w:rsidR="00DC2600">
        <w:rPr>
          <w:rFonts w:ascii="Arial"/>
        </w:rPr>
        <w:t>, USA</w:t>
      </w:r>
    </w:p>
    <w:p w:rsidR="00C17AC5" w:rsidRDefault="00C17AC5" w:rsidP="005973B9">
      <w:pPr>
        <w:pStyle w:val="BodyText"/>
        <w:spacing w:before="73" w:line="198" w:lineRule="exact"/>
        <w:ind w:left="100" w:right="5987"/>
        <w:rPr>
          <w:rFonts w:ascii="Arial"/>
        </w:rPr>
      </w:pPr>
      <w:r>
        <w:rPr>
          <w:rFonts w:ascii="Arial"/>
        </w:rPr>
        <w:t>Luk Peeters, PhD, CSIRO, Australia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3F487C" w:rsidRPr="009232EE" w:rsidRDefault="003F487C" w:rsidP="003F487C">
      <w:pPr>
        <w:pStyle w:val="BodyText"/>
        <w:spacing w:before="90" w:line="280" w:lineRule="auto"/>
        <w:ind w:left="100"/>
        <w:jc w:val="both"/>
      </w:pPr>
      <w:r>
        <w:t xml:space="preserve">Large-scale groundwater </w:t>
      </w:r>
      <w:r w:rsidR="00932236">
        <w:t xml:space="preserve">flow </w:t>
      </w:r>
      <w:r>
        <w:t>model p</w:t>
      </w:r>
      <w:r w:rsidRPr="009232EE">
        <w:t>redicti</w:t>
      </w:r>
      <w:r>
        <w:t>ons</w:t>
      </w:r>
      <w:r w:rsidRPr="009232EE">
        <w:t xml:space="preserve"> </w:t>
      </w:r>
      <w:r>
        <w:t xml:space="preserve">are generally highly uncertain due to </w:t>
      </w:r>
      <w:r w:rsidRPr="009232EE">
        <w:t xml:space="preserve">poorly constrained </w:t>
      </w:r>
      <w:proofErr w:type="spellStart"/>
      <w:r>
        <w:t>hydrogeologic</w:t>
      </w:r>
      <w:proofErr w:type="spellEnd"/>
      <w:r>
        <w:t xml:space="preserve"> properties, boundary conditions, and geologic layers. </w:t>
      </w:r>
      <w:r w:rsidRPr="009232EE">
        <w:t>The present study demonstrate</w:t>
      </w:r>
      <w:r>
        <w:t>s</w:t>
      </w:r>
      <w:r w:rsidRPr="009232EE">
        <w:t xml:space="preserve"> </w:t>
      </w:r>
      <w:r>
        <w:t xml:space="preserve">a generic workflow </w:t>
      </w:r>
      <w:r w:rsidRPr="009232EE">
        <w:t xml:space="preserve">to </w:t>
      </w:r>
      <w:r>
        <w:t xml:space="preserve">iteratively constrain prediction uncertainty by obtaining improved estimates of the most sensitive model components and incorporating them in updated simulations. A case study was developed in which an initially poorly characterized low-permeable formation, a so-called aquitard, was subject to </w:t>
      </w:r>
      <w:r w:rsidRPr="009232EE">
        <w:t xml:space="preserve">improved </w:t>
      </w:r>
      <w:r>
        <w:t xml:space="preserve">characterization resulting in better constrained </w:t>
      </w:r>
      <w:r w:rsidRPr="009232EE">
        <w:t xml:space="preserve">estimates of </w:t>
      </w:r>
      <w:proofErr w:type="spellStart"/>
      <w:r>
        <w:t>hydrogeologic</w:t>
      </w:r>
      <w:proofErr w:type="spellEnd"/>
      <w:r w:rsidRPr="009232EE">
        <w:t xml:space="preserve"> properties</w:t>
      </w:r>
      <w:r>
        <w:t xml:space="preserve">. </w:t>
      </w:r>
      <w:r w:rsidRPr="009232EE">
        <w:t xml:space="preserve"> This study used an existing </w:t>
      </w:r>
      <w:r w:rsidR="00B42313">
        <w:t xml:space="preserve">large-scale </w:t>
      </w:r>
      <w:r w:rsidRPr="009232EE">
        <w:t xml:space="preserve">groundwater flow model in the </w:t>
      </w:r>
      <w:proofErr w:type="spellStart"/>
      <w:r w:rsidRPr="009232EE">
        <w:t>Gunnedah</w:t>
      </w:r>
      <w:proofErr w:type="spellEnd"/>
      <w:r w:rsidRPr="009232EE">
        <w:t xml:space="preserve"> Basin</w:t>
      </w:r>
      <w:r w:rsidR="00B42313">
        <w:t>, New South Wales, Australia</w:t>
      </w:r>
      <w:r w:rsidRPr="009232EE">
        <w:t xml:space="preserve"> as the basis for the quantification of prediction uncertainty. Predictions generated by the </w:t>
      </w:r>
      <w:r w:rsidR="00B42313">
        <w:t xml:space="preserve">flow </w:t>
      </w:r>
      <w:r w:rsidRPr="009232EE">
        <w:t>model included the magnitude and timing of maximum drawdown in a confined aquifer</w:t>
      </w:r>
      <w:r w:rsidR="00B42313">
        <w:t xml:space="preserve"> separated from a stressed groundwater system by a sequence of deep aquitards</w:t>
      </w:r>
      <w:r w:rsidRPr="009232EE">
        <w:t>.</w:t>
      </w:r>
      <w:r w:rsidR="009C673B" w:rsidRPr="009C673B">
        <w:t xml:space="preserve"> </w:t>
      </w:r>
      <w:r w:rsidR="009C673B">
        <w:t>A g</w:t>
      </w:r>
      <w:r w:rsidR="009C673B" w:rsidRPr="009232EE">
        <w:t xml:space="preserve">lobal sensitivity analysis </w:t>
      </w:r>
      <w:r w:rsidR="009C673B">
        <w:t>revealed the vertical hydraulic conductivity (</w:t>
      </w:r>
      <w:r w:rsidR="009C673B" w:rsidRPr="009C673B">
        <w:rPr>
          <w:i/>
        </w:rPr>
        <w:t>K</w:t>
      </w:r>
      <w:r w:rsidR="009C673B" w:rsidRPr="009C673B">
        <w:rPr>
          <w:vertAlign w:val="subscript"/>
        </w:rPr>
        <w:t>V</w:t>
      </w:r>
      <w:r w:rsidR="009C673B">
        <w:t>) as one of the most sensitive groundwater system parameters, which was subsequently subject to improved characterization. P</w:t>
      </w:r>
      <w:r w:rsidRPr="009232EE">
        <w:t xml:space="preserve">orosity–permeability relationships </w:t>
      </w:r>
      <w:r w:rsidR="009C673B">
        <w:t xml:space="preserve">obtained on core samples </w:t>
      </w:r>
      <w:r w:rsidRPr="009232EE">
        <w:t xml:space="preserve">were combined with downhole neutron-density logs </w:t>
      </w:r>
      <w:r w:rsidR="009C673B">
        <w:t xml:space="preserve">to generate high-resolution vertical </w:t>
      </w:r>
      <w:r w:rsidR="009C673B" w:rsidRPr="009C673B">
        <w:rPr>
          <w:i/>
        </w:rPr>
        <w:t>K</w:t>
      </w:r>
      <w:r w:rsidR="009C673B" w:rsidRPr="009C673B">
        <w:rPr>
          <w:vertAlign w:val="subscript"/>
        </w:rPr>
        <w:t>V</w:t>
      </w:r>
      <w:r w:rsidR="009C673B">
        <w:t xml:space="preserve"> profiles. These were then</w:t>
      </w:r>
      <w:r w:rsidRPr="009232EE">
        <w:t xml:space="preserve"> </w:t>
      </w:r>
      <w:proofErr w:type="spellStart"/>
      <w:r w:rsidRPr="009232EE">
        <w:t>upscaled</w:t>
      </w:r>
      <w:proofErr w:type="spellEnd"/>
      <w:r w:rsidRPr="009232EE">
        <w:t xml:space="preserve"> </w:t>
      </w:r>
      <w:r w:rsidR="00963BBC">
        <w:t xml:space="preserve">to the scale of the aquitard formation </w:t>
      </w:r>
      <w:r w:rsidRPr="009232EE">
        <w:t>using analytical and numerical methods</w:t>
      </w:r>
      <w:r w:rsidR="00963BBC">
        <w:t>.</w:t>
      </w:r>
      <w:r w:rsidRPr="009232EE">
        <w:t xml:space="preserve"> Monte Carlo sampling from </w:t>
      </w:r>
      <w:proofErr w:type="spellStart"/>
      <w:r w:rsidRPr="009232EE">
        <w:t>hydr</w:t>
      </w:r>
      <w:r w:rsidR="00963BBC">
        <w:t>ogeologic</w:t>
      </w:r>
      <w:proofErr w:type="spellEnd"/>
      <w:r w:rsidRPr="009232EE">
        <w:t xml:space="preserve"> parameter prior distributions was used to estimate the uncertainty of </w:t>
      </w:r>
      <w:r w:rsidR="00963BBC">
        <w:t xml:space="preserve">groundwater </w:t>
      </w:r>
      <w:r w:rsidRPr="009232EE">
        <w:t>model predictions before and after improv</w:t>
      </w:r>
      <w:r w:rsidR="00963BBC">
        <w:t>ing</w:t>
      </w:r>
      <w:r w:rsidRPr="009232EE">
        <w:t xml:space="preserve"> </w:t>
      </w:r>
      <w:r w:rsidR="00963BBC">
        <w:t xml:space="preserve">the </w:t>
      </w:r>
      <w:proofErr w:type="spellStart"/>
      <w:r w:rsidRPr="009232EE">
        <w:t>characterisation</w:t>
      </w:r>
      <w:proofErr w:type="spellEnd"/>
      <w:r w:rsidRPr="009232EE">
        <w:t xml:space="preserve"> of aquitard </w:t>
      </w:r>
      <w:r w:rsidRPr="00963BBC">
        <w:rPr>
          <w:i/>
        </w:rPr>
        <w:t>K</w:t>
      </w:r>
      <w:r w:rsidRPr="00963BBC">
        <w:rPr>
          <w:vertAlign w:val="subscript"/>
        </w:rPr>
        <w:t>V</w:t>
      </w:r>
      <w:r w:rsidRPr="009232EE">
        <w:t xml:space="preserve"> values. </w:t>
      </w:r>
      <w:r w:rsidR="00963BBC">
        <w:t xml:space="preserve">Independent estimates of aquitard-scale </w:t>
      </w:r>
      <w:r w:rsidR="00963BBC" w:rsidRPr="00E24DF8">
        <w:rPr>
          <w:i/>
        </w:rPr>
        <w:t>K</w:t>
      </w:r>
      <w:r w:rsidR="00963BBC" w:rsidRPr="00E24DF8">
        <w:rPr>
          <w:vertAlign w:val="subscript"/>
        </w:rPr>
        <w:t>V</w:t>
      </w:r>
      <w:r w:rsidR="00963BBC">
        <w:t xml:space="preserve"> were derived from a 1D transport model interpretation of </w:t>
      </w:r>
      <w:r w:rsidR="00777EB1">
        <w:t xml:space="preserve">a </w:t>
      </w:r>
      <w:r w:rsidR="00963BBC">
        <w:t xml:space="preserve">profile </w:t>
      </w:r>
      <w:r w:rsidR="00777EB1">
        <w:t xml:space="preserve">of natural tracer. Monte Carlo simulations using a spatially uniform aquitard </w:t>
      </w:r>
      <w:r w:rsidR="00777EB1" w:rsidRPr="00777EB1">
        <w:rPr>
          <w:i/>
        </w:rPr>
        <w:t>K</w:t>
      </w:r>
      <w:r w:rsidR="00777EB1" w:rsidRPr="00777EB1">
        <w:rPr>
          <w:vertAlign w:val="subscript"/>
        </w:rPr>
        <w:t>V</w:t>
      </w:r>
      <w:r w:rsidR="00777EB1">
        <w:t xml:space="preserve"> model did not </w:t>
      </w:r>
      <w:r w:rsidR="00E90E1C">
        <w:t xml:space="preserve">considerably change groundwater model predictions. </w:t>
      </w:r>
      <w:r w:rsidR="00777EB1">
        <w:t xml:space="preserve">The groundwater model predictions were best constrained when the spatial correlation structure of </w:t>
      </w:r>
      <w:r w:rsidR="00777EB1" w:rsidRPr="00777EB1">
        <w:rPr>
          <w:i/>
        </w:rPr>
        <w:t>K</w:t>
      </w:r>
      <w:r w:rsidR="00777EB1" w:rsidRPr="00777EB1">
        <w:rPr>
          <w:vertAlign w:val="subscript"/>
        </w:rPr>
        <w:t>V</w:t>
      </w:r>
      <w:r w:rsidR="00777EB1">
        <w:t xml:space="preserve"> was explicitly accounted for in the Monte Carlo simulations.</w:t>
      </w:r>
      <w:r w:rsidR="00E24DF8">
        <w:t xml:space="preserve"> The workflow allows for an iterative updating of those uncertain parameters to which the model is most sensitive. </w:t>
      </w:r>
    </w:p>
    <w:p w:rsidR="00AE3E37" w:rsidRDefault="00A9710C">
      <w:pPr>
        <w:pStyle w:val="Heading3"/>
        <w:spacing w:before="74"/>
      </w:pPr>
      <w:r>
        <w:rPr>
          <w:b w:val="0"/>
        </w:rPr>
        <w:br w:type="column"/>
      </w:r>
      <w:r>
        <w:rPr>
          <w:color w:val="BF5A14"/>
        </w:rPr>
        <w:t>Image</w:t>
      </w:r>
    </w:p>
    <w:p w:rsidR="00AE3E37" w:rsidRDefault="00D855CD">
      <w:pPr>
        <w:pStyle w:val="BodyText"/>
        <w:spacing w:before="2"/>
        <w:rPr>
          <w:rFonts w:ascii="Arial"/>
          <w:b/>
          <w:sz w:val="16"/>
        </w:rPr>
      </w:pPr>
      <w:r w:rsidRPr="00D855CD">
        <w:rPr>
          <w:noProof/>
          <w:lang w:val="en-AU" w:eastAsia="en-AU"/>
        </w:rPr>
        <w:drawing>
          <wp:inline distT="0" distB="0" distL="0" distR="0">
            <wp:extent cx="3165475" cy="22305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230507"/>
                    </a:xfrm>
                    <a:prstGeom prst="rect">
                      <a:avLst/>
                    </a:prstGeom>
                    <a:noFill/>
                    <a:ln>
                      <a:noFill/>
                    </a:ln>
                  </pic:spPr>
                </pic:pic>
              </a:graphicData>
            </a:graphic>
          </wp:inline>
        </w:drawing>
      </w:r>
    </w:p>
    <w:p w:rsidR="00F057A5" w:rsidRDefault="00F057A5">
      <w:pPr>
        <w:pStyle w:val="BodyText"/>
        <w:spacing w:before="2"/>
        <w:rPr>
          <w:rFonts w:ascii="Arial"/>
          <w:b/>
          <w:sz w:val="16"/>
        </w:rPr>
      </w:pPr>
      <w:r>
        <w:rPr>
          <w:rFonts w:ascii="Arial"/>
          <w:b/>
          <w:sz w:val="16"/>
        </w:rPr>
        <w:t xml:space="preserve">Figure 1 </w:t>
      </w:r>
      <w:proofErr w:type="gramStart"/>
      <w:r>
        <w:rPr>
          <w:rFonts w:ascii="Arial"/>
          <w:b/>
          <w:sz w:val="16"/>
        </w:rPr>
        <w:t>An</w:t>
      </w:r>
      <w:proofErr w:type="gramEnd"/>
      <w:r>
        <w:rPr>
          <w:rFonts w:ascii="Arial"/>
          <w:b/>
          <w:sz w:val="16"/>
        </w:rPr>
        <w:t xml:space="preserve"> iterative approach to uncertainty quantification.</w:t>
      </w:r>
    </w:p>
    <w:p w:rsidR="005973B9" w:rsidRDefault="005973B9" w:rsidP="005973B9">
      <w:pPr>
        <w:spacing w:line="204" w:lineRule="exact"/>
        <w:rPr>
          <w:rFonts w:ascii="Arial"/>
          <w:b/>
          <w:sz w:val="20"/>
        </w:rPr>
      </w:pPr>
      <w:r>
        <w:rPr>
          <w:rFonts w:ascii="Arial"/>
          <w:b/>
          <w:color w:val="BF5A14"/>
          <w:sz w:val="20"/>
        </w:rPr>
        <w:br/>
        <w:t>Recent Publications (minimum 5)</w:t>
      </w:r>
    </w:p>
    <w:p w:rsidR="00DA58C0" w:rsidRPr="00E419C0" w:rsidRDefault="00DA58C0" w:rsidP="00DA58C0">
      <w:pPr>
        <w:pStyle w:val="ListParagraph"/>
        <w:numPr>
          <w:ilvl w:val="0"/>
          <w:numId w:val="3"/>
        </w:numPr>
        <w:tabs>
          <w:tab w:val="left" w:pos="384"/>
        </w:tabs>
        <w:spacing w:before="92" w:line="218" w:lineRule="exact"/>
        <w:ind w:hanging="283"/>
      </w:pPr>
      <w:proofErr w:type="spellStart"/>
      <w:r w:rsidRPr="00E419C0">
        <w:rPr>
          <w:sz w:val="18"/>
        </w:rPr>
        <w:t>Laloy</w:t>
      </w:r>
      <w:proofErr w:type="spellEnd"/>
      <w:r w:rsidRPr="00E419C0">
        <w:rPr>
          <w:sz w:val="18"/>
        </w:rPr>
        <w:t xml:space="preserve"> E, </w:t>
      </w:r>
      <w:proofErr w:type="spellStart"/>
      <w:r w:rsidRPr="00E419C0">
        <w:rPr>
          <w:sz w:val="18"/>
        </w:rPr>
        <w:t>Rogiers</w:t>
      </w:r>
      <w:proofErr w:type="spellEnd"/>
      <w:r w:rsidRPr="00E419C0">
        <w:rPr>
          <w:sz w:val="18"/>
        </w:rPr>
        <w:t xml:space="preserve"> B, </w:t>
      </w:r>
      <w:proofErr w:type="spellStart"/>
      <w:r w:rsidRPr="00E419C0">
        <w:rPr>
          <w:sz w:val="18"/>
        </w:rPr>
        <w:t>Vrugt</w:t>
      </w:r>
      <w:proofErr w:type="spellEnd"/>
      <w:r w:rsidRPr="00E419C0">
        <w:rPr>
          <w:sz w:val="18"/>
        </w:rPr>
        <w:t xml:space="preserve"> J, Mallants D, Jacques D (2013). </w:t>
      </w:r>
      <w:hyperlink r:id="rId10" w:history="1">
        <w:r w:rsidRPr="00E419C0">
          <w:rPr>
            <w:sz w:val="18"/>
          </w:rPr>
          <w:t>Efficient posterior exploration of a high-dimensional groundwater model from two-stage MCMC simulation and polynomial chose expansion</w:t>
        </w:r>
      </w:hyperlink>
      <w:r w:rsidRPr="00E419C0">
        <w:rPr>
          <w:sz w:val="18"/>
        </w:rPr>
        <w:t>. Water Resources Research 49(5): 2664-2682.</w:t>
      </w:r>
    </w:p>
    <w:p w:rsidR="00DA58C0" w:rsidRPr="00DA58C0" w:rsidRDefault="00DA58C0" w:rsidP="00DA58C0">
      <w:pPr>
        <w:pStyle w:val="ListParagraph"/>
        <w:numPr>
          <w:ilvl w:val="0"/>
          <w:numId w:val="3"/>
        </w:numPr>
        <w:tabs>
          <w:tab w:val="left" w:pos="384"/>
        </w:tabs>
        <w:spacing w:before="92" w:line="218" w:lineRule="exact"/>
        <w:ind w:hanging="283"/>
        <w:rPr>
          <w:sz w:val="18"/>
        </w:rPr>
      </w:pPr>
      <w:r w:rsidRPr="00DA58C0">
        <w:rPr>
          <w:sz w:val="18"/>
        </w:rPr>
        <w:t>Peeters L (2017) Assumption Hunting in Groundwater Modeling: Find Assumptions Before They Find You</w:t>
      </w:r>
      <w:r>
        <w:rPr>
          <w:sz w:val="18"/>
        </w:rPr>
        <w:t>.</w:t>
      </w:r>
      <w:r w:rsidRPr="00DA58C0">
        <w:rPr>
          <w:sz w:val="18"/>
        </w:rPr>
        <w:t xml:space="preserve"> Groundwater, 10.1111/gwat.12565 </w:t>
      </w:r>
    </w:p>
    <w:p w:rsidR="00DA58C0" w:rsidRPr="00DA58C0" w:rsidRDefault="00DA58C0" w:rsidP="00DA58C0">
      <w:pPr>
        <w:pStyle w:val="ListParagraph"/>
        <w:numPr>
          <w:ilvl w:val="0"/>
          <w:numId w:val="3"/>
        </w:numPr>
        <w:tabs>
          <w:tab w:val="left" w:pos="384"/>
        </w:tabs>
        <w:spacing w:before="92" w:line="218" w:lineRule="exact"/>
        <w:ind w:hanging="283"/>
        <w:rPr>
          <w:sz w:val="18"/>
        </w:rPr>
      </w:pPr>
      <w:r w:rsidRPr="00DA58C0">
        <w:rPr>
          <w:sz w:val="18"/>
        </w:rPr>
        <w:t>Peeters L</w:t>
      </w:r>
      <w:r>
        <w:rPr>
          <w:sz w:val="18"/>
        </w:rPr>
        <w:t xml:space="preserve">, </w:t>
      </w:r>
      <w:proofErr w:type="spellStart"/>
      <w:r>
        <w:rPr>
          <w:sz w:val="18"/>
        </w:rPr>
        <w:t>Podger</w:t>
      </w:r>
      <w:proofErr w:type="spellEnd"/>
      <w:r>
        <w:rPr>
          <w:sz w:val="18"/>
        </w:rPr>
        <w:t xml:space="preserve"> GM, Smith T, Pickett T,</w:t>
      </w:r>
      <w:r w:rsidRPr="00DA58C0">
        <w:rPr>
          <w:sz w:val="18"/>
        </w:rPr>
        <w:t xml:space="preserve"> Bark RH</w:t>
      </w:r>
      <w:r>
        <w:rPr>
          <w:sz w:val="18"/>
        </w:rPr>
        <w:t>,</w:t>
      </w:r>
      <w:r w:rsidRPr="00DA58C0">
        <w:rPr>
          <w:sz w:val="18"/>
        </w:rPr>
        <w:t xml:space="preserve"> &amp; Cuddy SM (2014) Robust global sensitivity analysis of a river management model to assess nonlinear and interaction effects </w:t>
      </w:r>
      <w:proofErr w:type="spellStart"/>
      <w:r w:rsidRPr="00DA58C0">
        <w:rPr>
          <w:sz w:val="18"/>
        </w:rPr>
        <w:t>Hydrol</w:t>
      </w:r>
      <w:proofErr w:type="spellEnd"/>
      <w:r w:rsidRPr="00DA58C0">
        <w:rPr>
          <w:sz w:val="18"/>
        </w:rPr>
        <w:t>. Earth Syst. Sci., , 18, 3777-3785 doi:10.5194/hess-18-3777-2014</w:t>
      </w:r>
    </w:p>
    <w:p w:rsidR="005973B9" w:rsidRDefault="00E419C0" w:rsidP="00E419C0">
      <w:pPr>
        <w:pStyle w:val="ListParagraph"/>
        <w:numPr>
          <w:ilvl w:val="0"/>
          <w:numId w:val="3"/>
        </w:numPr>
        <w:tabs>
          <w:tab w:val="left" w:pos="384"/>
        </w:tabs>
        <w:spacing w:line="216" w:lineRule="exact"/>
        <w:ind w:right="137" w:hanging="283"/>
        <w:rPr>
          <w:sz w:val="18"/>
        </w:rPr>
      </w:pPr>
      <w:proofErr w:type="spellStart"/>
      <w:r w:rsidRPr="00E419C0">
        <w:rPr>
          <w:sz w:val="18"/>
        </w:rPr>
        <w:t>Rogiers</w:t>
      </w:r>
      <w:proofErr w:type="spellEnd"/>
      <w:r w:rsidRPr="00E419C0">
        <w:rPr>
          <w:sz w:val="18"/>
        </w:rPr>
        <w:t xml:space="preserve"> B, Mallants D, Batelaan O, </w:t>
      </w:r>
      <w:proofErr w:type="spellStart"/>
      <w:r w:rsidRPr="00E419C0">
        <w:rPr>
          <w:sz w:val="18"/>
        </w:rPr>
        <w:t>Gedeon</w:t>
      </w:r>
      <w:proofErr w:type="spellEnd"/>
      <w:r w:rsidRPr="00E419C0">
        <w:rPr>
          <w:sz w:val="18"/>
        </w:rPr>
        <w:t xml:space="preserve"> M, Huy</w:t>
      </w:r>
      <w:r>
        <w:rPr>
          <w:sz w:val="18"/>
        </w:rPr>
        <w:t xml:space="preserve">smans M and </w:t>
      </w:r>
      <w:proofErr w:type="spellStart"/>
      <w:r>
        <w:rPr>
          <w:sz w:val="18"/>
        </w:rPr>
        <w:t>Dassargues</w:t>
      </w:r>
      <w:proofErr w:type="spellEnd"/>
      <w:r>
        <w:rPr>
          <w:sz w:val="18"/>
        </w:rPr>
        <w:t xml:space="preserve"> A (2017)</w:t>
      </w:r>
      <w:r w:rsidRPr="00E419C0">
        <w:rPr>
          <w:sz w:val="18"/>
        </w:rPr>
        <w:t xml:space="preserve"> Model-based classification and automated </w:t>
      </w:r>
      <w:proofErr w:type="spellStart"/>
      <w:r w:rsidRPr="00E419C0">
        <w:rPr>
          <w:sz w:val="18"/>
        </w:rPr>
        <w:t>lithostratigraphical</w:t>
      </w:r>
      <w:proofErr w:type="spellEnd"/>
      <w:r w:rsidRPr="00E419C0">
        <w:rPr>
          <w:sz w:val="18"/>
        </w:rPr>
        <w:t xml:space="preserve"> mapping of CPT data for high-resolution characterization of a heterogeneous sedimentary aquifer. </w:t>
      </w:r>
      <w:proofErr w:type="spellStart"/>
      <w:r>
        <w:rPr>
          <w:sz w:val="18"/>
        </w:rPr>
        <w:t>PLoSONE</w:t>
      </w:r>
      <w:proofErr w:type="spellEnd"/>
      <w:r>
        <w:rPr>
          <w:sz w:val="18"/>
        </w:rPr>
        <w:t xml:space="preserve"> </w:t>
      </w:r>
      <w:hyperlink r:id="rId11" w:history="1">
        <w:r w:rsidRPr="00D82F19">
          <w:rPr>
            <w:rStyle w:val="Hyperlink"/>
            <w:sz w:val="18"/>
          </w:rPr>
          <w:t>(https://doi.org/10.1371/journal.pone.0176656</w:t>
        </w:r>
      </w:hyperlink>
      <w:r>
        <w:rPr>
          <w:sz w:val="18"/>
        </w:rPr>
        <w:t>)</w:t>
      </w:r>
    </w:p>
    <w:p w:rsidR="00DA58C0" w:rsidRDefault="00DA58C0" w:rsidP="00DA58C0">
      <w:pPr>
        <w:pStyle w:val="ListParagraph"/>
        <w:numPr>
          <w:ilvl w:val="0"/>
          <w:numId w:val="3"/>
        </w:numPr>
        <w:tabs>
          <w:tab w:val="left" w:pos="384"/>
        </w:tabs>
        <w:spacing w:line="216" w:lineRule="exact"/>
        <w:ind w:right="138" w:hanging="283"/>
        <w:rPr>
          <w:sz w:val="18"/>
        </w:rPr>
      </w:pPr>
      <w:proofErr w:type="spellStart"/>
      <w:r w:rsidRPr="00E419C0">
        <w:rPr>
          <w:sz w:val="18"/>
        </w:rPr>
        <w:t>Rogiers</w:t>
      </w:r>
      <w:proofErr w:type="spellEnd"/>
      <w:r w:rsidRPr="00E419C0">
        <w:rPr>
          <w:sz w:val="18"/>
        </w:rPr>
        <w:t xml:space="preserve"> B, Winters P, Huysmans M, </w:t>
      </w:r>
      <w:proofErr w:type="spellStart"/>
      <w:r w:rsidRPr="00E419C0">
        <w:rPr>
          <w:sz w:val="18"/>
        </w:rPr>
        <w:t>Beerten</w:t>
      </w:r>
      <w:proofErr w:type="spellEnd"/>
      <w:r w:rsidRPr="00E419C0">
        <w:rPr>
          <w:sz w:val="18"/>
        </w:rPr>
        <w:t xml:space="preserve"> K, Mallants D, </w:t>
      </w:r>
      <w:proofErr w:type="spellStart"/>
      <w:r w:rsidRPr="00E419C0">
        <w:rPr>
          <w:sz w:val="18"/>
        </w:rPr>
        <w:t>Gedeon</w:t>
      </w:r>
      <w:proofErr w:type="spellEnd"/>
      <w:r w:rsidRPr="00E419C0">
        <w:rPr>
          <w:sz w:val="18"/>
        </w:rPr>
        <w:t xml:space="preserve"> M, Bate</w:t>
      </w:r>
      <w:r>
        <w:rPr>
          <w:sz w:val="18"/>
        </w:rPr>
        <w:t xml:space="preserve">laan O, </w:t>
      </w:r>
      <w:proofErr w:type="spellStart"/>
      <w:r>
        <w:rPr>
          <w:sz w:val="18"/>
        </w:rPr>
        <w:t>Dassargues</w:t>
      </w:r>
      <w:proofErr w:type="spellEnd"/>
      <w:r>
        <w:rPr>
          <w:sz w:val="18"/>
        </w:rPr>
        <w:t xml:space="preserve"> A (2014)</w:t>
      </w:r>
      <w:r w:rsidRPr="00E419C0">
        <w:rPr>
          <w:sz w:val="18"/>
        </w:rPr>
        <w:t xml:space="preserve"> High resolution saturated hydraulic conductivity logging of borehole cores using air permeability measurements. Hydrogeology J</w:t>
      </w:r>
      <w:r>
        <w:rPr>
          <w:sz w:val="18"/>
        </w:rPr>
        <w:t>. 22(6): 1345-1358.</w:t>
      </w:r>
    </w:p>
    <w:p w:rsidR="00DA58C0" w:rsidRDefault="00DA58C0" w:rsidP="00DA58C0">
      <w:pPr>
        <w:pStyle w:val="ListParagraph"/>
        <w:numPr>
          <w:ilvl w:val="0"/>
          <w:numId w:val="3"/>
        </w:numPr>
        <w:tabs>
          <w:tab w:val="left" w:pos="384"/>
        </w:tabs>
        <w:spacing w:before="92" w:line="218" w:lineRule="exact"/>
        <w:ind w:hanging="283"/>
      </w:pPr>
      <w:proofErr w:type="spellStart"/>
      <w:r w:rsidRPr="00CC4C8C">
        <w:rPr>
          <w:sz w:val="18"/>
        </w:rPr>
        <w:t>Rogiers</w:t>
      </w:r>
      <w:proofErr w:type="spellEnd"/>
      <w:r w:rsidRPr="00CC4C8C">
        <w:rPr>
          <w:sz w:val="18"/>
        </w:rPr>
        <w:t xml:space="preserve"> B, Mallants D, Batelaan O, </w:t>
      </w:r>
      <w:proofErr w:type="spellStart"/>
      <w:r w:rsidRPr="00CC4C8C">
        <w:rPr>
          <w:sz w:val="18"/>
        </w:rPr>
        <w:t>Gedeon</w:t>
      </w:r>
      <w:proofErr w:type="spellEnd"/>
      <w:r w:rsidRPr="00CC4C8C">
        <w:rPr>
          <w:sz w:val="18"/>
        </w:rPr>
        <w:t xml:space="preserve"> M, Huysmans M, and </w:t>
      </w:r>
      <w:proofErr w:type="spellStart"/>
      <w:r w:rsidRPr="00CC4C8C">
        <w:rPr>
          <w:sz w:val="18"/>
        </w:rPr>
        <w:t>Dassargues</w:t>
      </w:r>
      <w:proofErr w:type="spellEnd"/>
      <w:r w:rsidRPr="00CC4C8C">
        <w:rPr>
          <w:sz w:val="18"/>
        </w:rPr>
        <w:t xml:space="preserve"> A (2012) Estimation of hydraulic conductivity and its uncertainty from grain-size data using GLUE and artificial neural networks. Mathematical Geosciences 44(6): 739-7635</w:t>
      </w:r>
      <w:r>
        <w:t>.</w:t>
      </w:r>
    </w:p>
    <w:p w:rsidR="005973B9" w:rsidRDefault="00E419C0" w:rsidP="005973B9">
      <w:pPr>
        <w:pStyle w:val="ListParagraph"/>
        <w:numPr>
          <w:ilvl w:val="0"/>
          <w:numId w:val="3"/>
        </w:numPr>
        <w:tabs>
          <w:tab w:val="left" w:pos="384"/>
        </w:tabs>
        <w:spacing w:line="216" w:lineRule="exact"/>
        <w:ind w:right="137" w:hanging="283"/>
        <w:rPr>
          <w:sz w:val="18"/>
        </w:rPr>
      </w:pPr>
      <w:r w:rsidRPr="00E419C0">
        <w:rPr>
          <w:sz w:val="18"/>
        </w:rPr>
        <w:t xml:space="preserve">Turnadge C, Mallants D, Peeters L </w:t>
      </w:r>
      <w:r>
        <w:rPr>
          <w:sz w:val="18"/>
        </w:rPr>
        <w:t>(</w:t>
      </w:r>
      <w:r w:rsidRPr="00E419C0">
        <w:rPr>
          <w:sz w:val="18"/>
        </w:rPr>
        <w:t>2016</w:t>
      </w:r>
      <w:r>
        <w:rPr>
          <w:sz w:val="18"/>
        </w:rPr>
        <w:t>)</w:t>
      </w:r>
      <w:r w:rsidRPr="00E419C0">
        <w:rPr>
          <w:sz w:val="18"/>
        </w:rPr>
        <w:t xml:space="preserve"> Aquitard and Fault Simulation Approaches for Use in Regional Scale Assessments of Coal Seam Gas Extraction Impacts. Society of Petroleum Engineers Asia Pacific Oil &amp; Gas Conference and Exhibition. SPE-</w:t>
      </w:r>
      <w:r w:rsidRPr="00E419C0">
        <w:rPr>
          <w:sz w:val="18"/>
        </w:rPr>
        <w:fldChar w:fldCharType="begin"/>
      </w:r>
      <w:r w:rsidRPr="00E419C0">
        <w:rPr>
          <w:sz w:val="18"/>
        </w:rPr>
        <w:instrText xml:space="preserve"> SET Number</w:instrText>
      </w:r>
      <w:r w:rsidRPr="00E419C0">
        <w:rPr>
          <w:sz w:val="18"/>
        </w:rPr>
        <w:fldChar w:fldCharType="begin"/>
      </w:r>
      <w:r w:rsidRPr="00E419C0">
        <w:rPr>
          <w:sz w:val="18"/>
        </w:rPr>
        <w:instrText xml:space="preserve"> FILLIN "What is your 6 digit paper number? Don't include letters or dashes." </w:instrText>
      </w:r>
      <w:r w:rsidRPr="00E419C0">
        <w:rPr>
          <w:sz w:val="18"/>
        </w:rPr>
        <w:fldChar w:fldCharType="separate"/>
      </w:r>
      <w:r w:rsidRPr="00E419C0">
        <w:rPr>
          <w:sz w:val="18"/>
        </w:rPr>
        <w:instrText>182460</w:instrText>
      </w:r>
      <w:r w:rsidRPr="00E419C0">
        <w:rPr>
          <w:sz w:val="18"/>
        </w:rPr>
        <w:fldChar w:fldCharType="end"/>
      </w:r>
      <w:r w:rsidRPr="00E419C0">
        <w:rPr>
          <w:sz w:val="18"/>
        </w:rPr>
        <w:instrText xml:space="preserve"> </w:instrText>
      </w:r>
      <w:r w:rsidRPr="00E419C0">
        <w:rPr>
          <w:sz w:val="18"/>
        </w:rPr>
        <w:fldChar w:fldCharType="separate"/>
      </w:r>
      <w:r w:rsidRPr="00E419C0">
        <w:rPr>
          <w:sz w:val="18"/>
        </w:rPr>
        <w:t>182460</w:t>
      </w:r>
      <w:r w:rsidRPr="00E419C0">
        <w:rPr>
          <w:sz w:val="18"/>
        </w:rPr>
        <w:fldChar w:fldCharType="end"/>
      </w:r>
      <w:r w:rsidRPr="00E419C0">
        <w:rPr>
          <w:sz w:val="18"/>
        </w:rPr>
        <w:t>182463-MS. OnePetro.org (</w:t>
      </w:r>
      <w:hyperlink r:id="rId12" w:history="1">
        <w:r w:rsidRPr="00E419C0">
          <w:rPr>
            <w:sz w:val="18"/>
          </w:rPr>
          <w:t>http://dx.doi.org/10.2118/182463-MS</w:t>
        </w:r>
      </w:hyperlink>
      <w:r>
        <w:rPr>
          <w:rFonts w:ascii="Arial" w:hAnsi="Arial" w:cs="Arial"/>
        </w:rPr>
        <w:t>).</w:t>
      </w:r>
    </w:p>
    <w:p w:rsidR="00DA58C0" w:rsidRDefault="00DA58C0" w:rsidP="00DA58C0">
      <w:pPr>
        <w:pStyle w:val="ListParagraph"/>
        <w:tabs>
          <w:tab w:val="left" w:pos="384"/>
        </w:tabs>
        <w:spacing w:before="92" w:line="218" w:lineRule="exact"/>
        <w:ind w:firstLine="0"/>
      </w:pP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FDE1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62C17" w:rsidP="00404E5B">
      <w:pPr>
        <w:spacing w:before="92"/>
        <w:ind w:right="4234"/>
        <w:rPr>
          <w:rFonts w:ascii="Arial"/>
        </w:rPr>
      </w:pPr>
      <w:r>
        <w:rPr>
          <w:noProof/>
        </w:rPr>
        <w:t xml:space="preserve">   </w:t>
      </w:r>
      <w:r w:rsidR="00E427F1">
        <w:rPr>
          <w:rFonts w:ascii="Arial"/>
          <w:color w:val="BF5A14"/>
        </w:rPr>
        <w:t>Biography</w:t>
      </w:r>
    </w:p>
    <w:p w:rsidR="00AE3E37" w:rsidRDefault="00E427F1">
      <w:pPr>
        <w:spacing w:before="41" w:line="154" w:lineRule="exact"/>
        <w:ind w:left="213" w:right="231"/>
        <w:jc w:val="both"/>
        <w:rPr>
          <w:rFonts w:ascii="Arial"/>
          <w:sz w:val="14"/>
        </w:rPr>
      </w:pPr>
      <w:r w:rsidRPr="00E427F1">
        <w:rPr>
          <w:rFonts w:ascii="Arial"/>
          <w:sz w:val="14"/>
        </w:rPr>
        <w:t xml:space="preserve">Dirk Mallants has a background in soil and groundwater hydrology with more than 25 years of experience in </w:t>
      </w:r>
      <w:proofErr w:type="spellStart"/>
      <w:r w:rsidRPr="00E427F1">
        <w:rPr>
          <w:rFonts w:ascii="Arial"/>
          <w:sz w:val="14"/>
        </w:rPr>
        <w:t>characterising</w:t>
      </w:r>
      <w:proofErr w:type="spellEnd"/>
      <w:r w:rsidRPr="00E427F1">
        <w:rPr>
          <w:rFonts w:ascii="Arial"/>
          <w:sz w:val="14"/>
        </w:rPr>
        <w:t xml:space="preserve"> and modelling water flow and contaminant transport in complex environments </w:t>
      </w:r>
      <w:r w:rsidRPr="00E427F1">
        <w:rPr>
          <w:rFonts w:ascii="Arial"/>
          <w:sz w:val="14"/>
        </w:rPr>
        <w:t>–</w:t>
      </w:r>
      <w:r w:rsidRPr="00E427F1">
        <w:rPr>
          <w:rFonts w:ascii="Arial"/>
          <w:sz w:val="14"/>
        </w:rPr>
        <w:t xml:space="preserve"> typically variably-saturated soils, aquifers and low-permeable porous media including deep clay formations and fractured concretes. He contributed to establishing one of the most extensive datasets on hydraulic conductivity of aquitards. Integrating experimental observations and numerical modelling has always been at the </w:t>
      </w:r>
      <w:proofErr w:type="spellStart"/>
      <w:r w:rsidRPr="00E427F1">
        <w:rPr>
          <w:rFonts w:ascii="Arial"/>
          <w:sz w:val="14"/>
        </w:rPr>
        <w:t>centre</w:t>
      </w:r>
      <w:proofErr w:type="spellEnd"/>
      <w:r w:rsidRPr="00E427F1">
        <w:rPr>
          <w:rFonts w:ascii="Arial"/>
          <w:sz w:val="14"/>
        </w:rPr>
        <w:t xml:space="preserve"> of his research. His </w:t>
      </w:r>
      <w:hyperlink r:id="rId13" w:tooltip="Click to Continue &gt; by Coupon Companion Plugin" w:history="1">
        <w:r w:rsidRPr="00E427F1">
          <w:rPr>
            <w:rFonts w:ascii="Arial"/>
            <w:sz w:val="14"/>
          </w:rPr>
          <w:t>work</w:t>
        </w:r>
      </w:hyperlink>
      <w:r w:rsidRPr="00E427F1">
        <w:rPr>
          <w:rFonts w:ascii="Arial"/>
          <w:sz w:val="14"/>
        </w:rPr>
        <w:t xml:space="preserve"> includes </w:t>
      </w:r>
      <w:proofErr w:type="spellStart"/>
      <w:r w:rsidRPr="00E427F1">
        <w:rPr>
          <w:rFonts w:ascii="Arial"/>
          <w:sz w:val="14"/>
        </w:rPr>
        <w:t>parameterisation</w:t>
      </w:r>
      <w:proofErr w:type="spellEnd"/>
      <w:r w:rsidRPr="00E427F1">
        <w:rPr>
          <w:rFonts w:ascii="Arial"/>
          <w:sz w:val="14"/>
        </w:rPr>
        <w:t xml:space="preserve"> of pore-scale and field-scale spatial variability in flow and transport properties, modelling processes of water flow and contaminant transport across a range of spatial scales, and the evaluation by means of process-based models of management options for water-related environmental pollution problems.</w:t>
      </w:r>
      <w:r>
        <w:rPr>
          <w:rFonts w:ascii="Arial"/>
          <w:sz w:val="14"/>
        </w:rPr>
        <w:t xml:space="preserve"> He</w:t>
      </w:r>
      <w:r w:rsidRPr="00E427F1">
        <w:rPr>
          <w:rFonts w:ascii="Arial"/>
          <w:sz w:val="14"/>
        </w:rPr>
        <w:t xml:space="preserve"> has extensive experience of working across a range of scales to understand dynamics of groundwater systems and the impact of resource extraction on the groundwater resource and groundwater dependent ecosystems.</w:t>
      </w:r>
    </w:p>
    <w:p w:rsidR="00AE3E37" w:rsidRDefault="00A9710C" w:rsidP="00E62C17">
      <w:pPr>
        <w:spacing w:before="62"/>
        <w:ind w:left="4217" w:right="4235"/>
        <w:jc w:val="center"/>
        <w:rPr>
          <w:rFonts w:ascii="Arial"/>
          <w:sz w:val="19"/>
        </w:rPr>
      </w:pPr>
      <w:r>
        <w:rPr>
          <w:rFonts w:ascii="Arial"/>
          <w:sz w:val="14"/>
        </w:rPr>
        <w:t xml:space="preserve">Email: </w:t>
      </w:r>
      <w:hyperlink r:id="rId14" w:history="1">
        <w:r w:rsidR="00520CD1" w:rsidRPr="00D82F19">
          <w:rPr>
            <w:rStyle w:val="Hyperlink"/>
            <w:rFonts w:ascii="Arial"/>
            <w:sz w:val="14"/>
          </w:rPr>
          <w:t>dirk.mallants@csiro.au</w:t>
        </w:r>
      </w:hyperlink>
      <w:r w:rsidR="00292ED9">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BC0E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62C17" w:rsidRDefault="00AE3E37" w:rsidP="00E62C17">
      <w:pPr>
        <w:spacing w:before="39"/>
        <w:rPr>
          <w:rFonts w:ascii="Minion Pro"/>
          <w:b/>
          <w:sz w:val="20"/>
        </w:rPr>
        <w:sectPr w:rsidR="00AE3E37" w:rsidRPr="00E62C17">
          <w:type w:val="continuous"/>
          <w:pgSz w:w="11910" w:h="16840"/>
          <w:pgMar w:top="1740" w:right="600" w:bottom="840" w:left="620" w:header="720" w:footer="720" w:gutter="0"/>
          <w:cols w:space="720"/>
        </w:sectPr>
      </w:pPr>
    </w:p>
    <w:p w:rsidR="00AE3E37" w:rsidRDefault="00AE3E37" w:rsidP="00E62C1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402" w:rsidRDefault="00BB6402">
      <w:r>
        <w:separator/>
      </w:r>
    </w:p>
  </w:endnote>
  <w:endnote w:type="continuationSeparator" w:id="0">
    <w:p w:rsidR="00BB6402" w:rsidRDefault="00BB6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402" w:rsidRDefault="00BB6402">
      <w:r>
        <w:separator/>
      </w:r>
    </w:p>
  </w:footnote>
  <w:footnote w:type="continuationSeparator" w:id="0">
    <w:p w:rsidR="00BB6402" w:rsidRDefault="00BB64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0F56"/>
    <w:rsid w:val="000E2911"/>
    <w:rsid w:val="001263DF"/>
    <w:rsid w:val="001400FB"/>
    <w:rsid w:val="00164789"/>
    <w:rsid w:val="00292ED9"/>
    <w:rsid w:val="00297688"/>
    <w:rsid w:val="002E3C08"/>
    <w:rsid w:val="00334046"/>
    <w:rsid w:val="003B69D8"/>
    <w:rsid w:val="003C415F"/>
    <w:rsid w:val="003D4B1C"/>
    <w:rsid w:val="003F487C"/>
    <w:rsid w:val="00404E5B"/>
    <w:rsid w:val="00414F7B"/>
    <w:rsid w:val="004355DC"/>
    <w:rsid w:val="00467050"/>
    <w:rsid w:val="00470F64"/>
    <w:rsid w:val="004749B4"/>
    <w:rsid w:val="00494130"/>
    <w:rsid w:val="004F3523"/>
    <w:rsid w:val="00503E18"/>
    <w:rsid w:val="00520CD1"/>
    <w:rsid w:val="005973B9"/>
    <w:rsid w:val="005A3DD8"/>
    <w:rsid w:val="005B3A56"/>
    <w:rsid w:val="005E4B3C"/>
    <w:rsid w:val="0060501D"/>
    <w:rsid w:val="006060CE"/>
    <w:rsid w:val="0063497F"/>
    <w:rsid w:val="0063726D"/>
    <w:rsid w:val="00676AE2"/>
    <w:rsid w:val="00703FFF"/>
    <w:rsid w:val="00777EB1"/>
    <w:rsid w:val="00873DF0"/>
    <w:rsid w:val="008756E6"/>
    <w:rsid w:val="009232EE"/>
    <w:rsid w:val="00932236"/>
    <w:rsid w:val="00963BBC"/>
    <w:rsid w:val="009B2D44"/>
    <w:rsid w:val="009C673B"/>
    <w:rsid w:val="009E68CF"/>
    <w:rsid w:val="00A07E82"/>
    <w:rsid w:val="00A9710C"/>
    <w:rsid w:val="00AE3E37"/>
    <w:rsid w:val="00B04A79"/>
    <w:rsid w:val="00B21A57"/>
    <w:rsid w:val="00B42313"/>
    <w:rsid w:val="00BB6402"/>
    <w:rsid w:val="00BE4B1D"/>
    <w:rsid w:val="00BE54EF"/>
    <w:rsid w:val="00C17AC5"/>
    <w:rsid w:val="00C33602"/>
    <w:rsid w:val="00CC4C8C"/>
    <w:rsid w:val="00CD6F55"/>
    <w:rsid w:val="00D855CD"/>
    <w:rsid w:val="00DA58C0"/>
    <w:rsid w:val="00DC2600"/>
    <w:rsid w:val="00DE3104"/>
    <w:rsid w:val="00E2064D"/>
    <w:rsid w:val="00E24DF8"/>
    <w:rsid w:val="00E419C0"/>
    <w:rsid w:val="00E427F1"/>
    <w:rsid w:val="00E62C17"/>
    <w:rsid w:val="00E731B3"/>
    <w:rsid w:val="00E90E1C"/>
    <w:rsid w:val="00F057A5"/>
    <w:rsid w:val="00F378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505DC1-F37C-4A21-A287-AEF00B697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DA58C0"/>
    <w:pPr>
      <w:widowControl/>
      <w:spacing w:before="100" w:beforeAutospacing="1" w:after="100" w:afterAutospacing="1"/>
    </w:pPr>
    <w:rPr>
      <w:rFonts w:ascii="Times New Roman" w:eastAsiaTheme="minorHAnsi"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9045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13911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siro.au/en/Organisation-Structure/Divisions/Land-and-Water/DirkMallants.asp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x.doi.org/10.2118/182463-M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371/journal.pone.017665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ublications.csiro.au/rpr/pub?list=SEA&amp;pid=csiro:EP128179&amp;sb=RECENT&amp;expert=false&amp;n=6&amp;rpp=50&amp;page=1&amp;tr=12&amp;q=%22Mallants%2C%20Dirk%22&amp;dc4.publicationType=Journal%20Article&amp;dr=all"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dirk.mallants@csiro.a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2</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Mallants, Dirk (L&amp;W, Waite Campus)</cp:lastModifiedBy>
  <cp:revision>32</cp:revision>
  <dcterms:created xsi:type="dcterms:W3CDTF">2017-07-31T09:06:00Z</dcterms:created>
  <dcterms:modified xsi:type="dcterms:W3CDTF">2017-08-02T22:49:00Z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