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536AD2" w14:textId="77777777" w:rsidR="00AD19F8" w:rsidRDefault="00077910" w:rsidP="00077910">
      <w:pPr>
        <w:pStyle w:val="BodyText"/>
        <w:spacing w:before="73"/>
        <w:ind w:left="100" w:right="-20"/>
        <w:rPr>
          <w:rFonts w:ascii="Minion Pro" w:eastAsia="Minion Pro" w:hAnsi="Minion Pro" w:cs="Minion Pro"/>
          <w:b/>
          <w:bCs/>
          <w:color w:val="337AB7"/>
          <w:sz w:val="36"/>
          <w:szCs w:val="36"/>
          <w:rtl/>
        </w:rPr>
      </w:pPr>
      <w:r>
        <w:rPr>
          <w:rFonts w:ascii="Minion Pro" w:eastAsia="Minion Pro" w:hAnsi="Minion Pro" w:cs="Minion Pro"/>
          <w:b/>
          <w:bCs/>
          <w:color w:val="337AB7"/>
          <w:sz w:val="36"/>
          <w:szCs w:val="36"/>
        </w:rPr>
        <w:t xml:space="preserve">Association between </w:t>
      </w:r>
      <w:r w:rsidRPr="00077910">
        <w:rPr>
          <w:rFonts w:ascii="Minion Pro" w:eastAsia="Minion Pro" w:hAnsi="Minion Pro" w:cs="Minion Pro"/>
          <w:b/>
          <w:bCs/>
          <w:color w:val="337AB7"/>
          <w:sz w:val="36"/>
          <w:szCs w:val="36"/>
        </w:rPr>
        <w:t>presence of GAD65 and IA-2 Autoantibodies with Coxsackievirus B3 and B4 Infection in Type 1 Diabetic Children</w:t>
      </w:r>
    </w:p>
    <w:p w14:paraId="1ED9C7F6" w14:textId="5E4A4CE6" w:rsidR="005973B9" w:rsidRDefault="00077910" w:rsidP="00077910">
      <w:pPr>
        <w:pStyle w:val="BodyText"/>
        <w:spacing w:before="73"/>
        <w:ind w:left="100" w:right="-20"/>
        <w:rPr>
          <w:rFonts w:ascii="Arial"/>
        </w:rPr>
      </w:pPr>
      <w:r w:rsidRPr="00AD19F8">
        <w:rPr>
          <w:rFonts w:ascii="Tahoma" w:hAnsi="Tahoma" w:cs="Tahoma"/>
          <w:color w:val="000000"/>
          <w:u w:val="single"/>
          <w:shd w:val="clear" w:color="auto" w:fill="FAFAFA"/>
        </w:rPr>
        <w:t> </w:t>
      </w:r>
      <w:hyperlink r:id="rId7" w:history="1">
        <w:r w:rsidRPr="00AD19F8">
          <w:rPr>
            <w:rStyle w:val="Hyperlink"/>
            <w:rFonts w:ascii="Tahoma" w:hAnsi="Tahoma" w:cs="Tahoma"/>
            <w:color w:val="000000"/>
            <w:bdr w:val="none" w:sz="0" w:space="0" w:color="auto" w:frame="1"/>
            <w:shd w:val="clear" w:color="auto" w:fill="FAFAFA"/>
          </w:rPr>
          <w:t>Angila Ataei-Pirkooh</w:t>
        </w:r>
      </w:hyperlink>
      <w:r w:rsidR="00AD19F8">
        <w:rPr>
          <w:u w:val="single"/>
          <w:vertAlign w:val="superscript"/>
        </w:rPr>
        <w:t>*</w:t>
      </w:r>
      <w:r w:rsidR="00AD19F8">
        <w:rPr>
          <w:u w:val="single"/>
        </w:rPr>
        <w:t xml:space="preserve">, </w:t>
      </w:r>
      <w:r>
        <w:rPr>
          <w:rFonts w:ascii="Tahoma" w:hAnsi="Tahoma" w:cs="Tahoma"/>
          <w:color w:val="000000"/>
          <w:shd w:val="clear" w:color="auto" w:fill="FAFAFA"/>
        </w:rPr>
        <w:t> </w:t>
      </w:r>
      <w:hyperlink r:id="rId8" w:history="1">
        <w:r w:rsidR="00AD19F8" w:rsidRPr="00AD19F8">
          <w:rPr>
            <w:rStyle w:val="Hyperlink"/>
            <w:rFonts w:ascii="Tahoma" w:hAnsi="Tahoma" w:cs="Tahoma"/>
            <w:color w:val="000000"/>
            <w:u w:val="none"/>
            <w:bdr w:val="none" w:sz="0" w:space="0" w:color="auto" w:frame="1"/>
            <w:shd w:val="clear" w:color="auto" w:fill="FAFAFA"/>
          </w:rPr>
          <w:t>Atefeh Kachooei Mohagheghi Yaghubi</w:t>
        </w:r>
      </w:hyperlink>
      <w:r w:rsidR="00AD19F8" w:rsidRPr="00AD19F8">
        <w:rPr>
          <w:rFonts w:ascii="Tahoma" w:hAnsi="Tahoma" w:cs="Tahoma"/>
          <w:color w:val="000000"/>
          <w:shd w:val="clear" w:color="auto" w:fill="FAFAFA"/>
        </w:rPr>
        <w:t>,</w:t>
      </w:r>
      <w:r w:rsidRPr="00AD19F8">
        <w:rPr>
          <w:rFonts w:ascii="Tahoma" w:hAnsi="Tahoma" w:cs="Tahoma"/>
          <w:color w:val="000000"/>
          <w:shd w:val="clear" w:color="auto" w:fill="FAFAFA"/>
        </w:rPr>
        <w:t> </w:t>
      </w:r>
    </w:p>
    <w:p w14:paraId="23D8FC4B" w14:textId="77777777" w:rsidR="00AE3E37" w:rsidRDefault="00AE3E37">
      <w:pPr>
        <w:pStyle w:val="BodyText"/>
        <w:rPr>
          <w:rFonts w:ascii="Arial"/>
          <w:sz w:val="20"/>
        </w:rPr>
      </w:pPr>
    </w:p>
    <w:p w14:paraId="56537E25" w14:textId="77777777" w:rsidR="00AE3E37" w:rsidRDefault="00AE3E37">
      <w:pPr>
        <w:rPr>
          <w:rFonts w:ascii="Arial"/>
          <w:sz w:val="21"/>
        </w:rPr>
        <w:sectPr w:rsidR="00AE3E37" w:rsidSect="008E5477">
          <w:footerReference w:type="default" r:id="rId9"/>
          <w:type w:val="continuous"/>
          <w:pgSz w:w="11910" w:h="16840"/>
          <w:pgMar w:top="995" w:right="600" w:bottom="840" w:left="620" w:header="0" w:footer="0" w:gutter="0"/>
          <w:cols w:space="720"/>
          <w:docGrid w:linePitch="299"/>
        </w:sectPr>
      </w:pPr>
    </w:p>
    <w:p w14:paraId="5C1B346C" w14:textId="77777777" w:rsidR="00AE3E37" w:rsidRDefault="00A9710C">
      <w:pPr>
        <w:pStyle w:val="Heading3"/>
        <w:spacing w:before="147"/>
        <w:jc w:val="both"/>
      </w:pPr>
      <w:r>
        <w:rPr>
          <w:color w:val="BF5A14"/>
        </w:rPr>
        <w:t>Abstract</w:t>
      </w:r>
      <w:r w:rsidR="00404E5B">
        <w:rPr>
          <w:color w:val="BF5A14"/>
        </w:rPr>
        <w:t xml:space="preserve"> (300 word limit)</w:t>
      </w:r>
    </w:p>
    <w:p w14:paraId="1AB6EB0E" w14:textId="77777777" w:rsidR="00AE3E37" w:rsidRDefault="0044427C">
      <w:pPr>
        <w:pStyle w:val="Heading3"/>
        <w:spacing w:before="74"/>
      </w:pPr>
      <w:r w:rsidRPr="0044427C">
        <w:rPr>
          <w:rStyle w:val="Strong"/>
          <w:rFonts w:ascii="Tahoma" w:hAnsi="Tahoma" w:cs="Tahoma"/>
          <w:b/>
          <w:bCs/>
          <w:color w:val="000000"/>
          <w:sz w:val="18"/>
          <w:szCs w:val="18"/>
          <w:bdr w:val="none" w:sz="0" w:space="0" w:color="auto" w:frame="1"/>
          <w:shd w:val="clear" w:color="auto" w:fill="FAFAFA"/>
        </w:rPr>
        <w:t>Background and Aims</w:t>
      </w:r>
      <w:r>
        <w:rPr>
          <w:rStyle w:val="Strong"/>
          <w:rFonts w:ascii="Tahoma" w:hAnsi="Tahoma" w:cs="Tahoma"/>
          <w:color w:val="000000"/>
          <w:sz w:val="18"/>
          <w:szCs w:val="18"/>
          <w:bdr w:val="none" w:sz="0" w:space="0" w:color="auto" w:frame="1"/>
          <w:shd w:val="clear" w:color="auto" w:fill="FAFAFA"/>
        </w:rPr>
        <w:t>:</w:t>
      </w:r>
      <w:r w:rsidRPr="0044427C">
        <w:rPr>
          <w:rStyle w:val="Strong"/>
          <w:rFonts w:asciiTheme="minorBidi" w:hAnsiTheme="minorBidi" w:cstheme="minorBidi"/>
          <w:color w:val="000000"/>
          <w:sz w:val="18"/>
          <w:szCs w:val="18"/>
          <w:bdr w:val="none" w:sz="0" w:space="0" w:color="auto" w:frame="1"/>
          <w:shd w:val="clear" w:color="auto" w:fill="FAFAFA"/>
        </w:rPr>
        <w:t> </w:t>
      </w:r>
      <w:r w:rsidRPr="0044427C">
        <w:rPr>
          <w:rFonts w:ascii="Tahoma" w:hAnsi="Tahoma" w:cs="Tahoma"/>
          <w:b w:val="0"/>
          <w:bCs w:val="0"/>
          <w:color w:val="000000"/>
          <w:sz w:val="18"/>
          <w:szCs w:val="18"/>
          <w:shd w:val="clear" w:color="auto" w:fill="FAFAFA"/>
        </w:rPr>
        <w:t>It has been documented that in addition to the genetic susceptibility, environmental factors particularly viruses can also play an important role in the initiation or development of the pathogenesis of type 1 diabetes (T1D). However, findings from several epidemiological studies have shown conflicting results regarding the role of enteroviruses infections in this field of research. The purpose of the current study was to investigate a link between coxsackieviruses B3 and B4 infection and the development of T1D in children.</w:t>
      </w:r>
      <w:r>
        <w:rPr>
          <w:rFonts w:ascii="Tahoma" w:hAnsi="Tahoma" w:cs="Tahoma"/>
          <w:color w:val="000000"/>
          <w:sz w:val="18"/>
          <w:szCs w:val="18"/>
        </w:rPr>
        <w:br/>
      </w:r>
      <w:r w:rsidRPr="0044427C">
        <w:rPr>
          <w:rStyle w:val="Strong"/>
          <w:rFonts w:ascii="Tahoma" w:hAnsi="Tahoma" w:cs="Tahoma"/>
          <w:b/>
          <w:bCs/>
          <w:color w:val="000000"/>
          <w:sz w:val="18"/>
          <w:szCs w:val="18"/>
          <w:bdr w:val="none" w:sz="0" w:space="0" w:color="auto" w:frame="1"/>
          <w:shd w:val="clear" w:color="auto" w:fill="FAFAFA"/>
        </w:rPr>
        <w:t>Materials and Methods</w:t>
      </w:r>
      <w:r>
        <w:rPr>
          <w:rStyle w:val="Strong"/>
          <w:rFonts w:ascii="Tahoma" w:hAnsi="Tahoma" w:cs="Tahoma"/>
          <w:color w:val="000000"/>
          <w:sz w:val="18"/>
          <w:szCs w:val="18"/>
          <w:bdr w:val="none" w:sz="0" w:space="0" w:color="auto" w:frame="1"/>
          <w:shd w:val="clear" w:color="auto" w:fill="FAFAFA"/>
        </w:rPr>
        <w:t>: </w:t>
      </w:r>
      <w:r w:rsidRPr="0044427C">
        <w:rPr>
          <w:rFonts w:ascii="Tahoma" w:hAnsi="Tahoma" w:cs="Tahoma"/>
          <w:b w:val="0"/>
          <w:bCs w:val="0"/>
          <w:color w:val="000000"/>
          <w:sz w:val="18"/>
          <w:szCs w:val="18"/>
          <w:shd w:val="clear" w:color="auto" w:fill="FAFAFA"/>
        </w:rPr>
        <w:t>In this case-control study, 80 pediatric patients under 14 year of age with T1D and 80 non-diabetic children controls were enrolled between October 2017 to March 2018 from the Children's Medical Center in Tehran. Then, anti-GAD65 and anti-IA-2 autoantibodies were assessed in two groups using commercially available Enzyme linked immunosorbent assay (ELISA) kits. IgG antibodies of both Coxsackieviruses B3 and B4 were also measured by direct ELISA kits.</w:t>
      </w:r>
      <w:r>
        <w:rPr>
          <w:rFonts w:ascii="Tahoma" w:hAnsi="Tahoma" w:cs="Tahoma"/>
          <w:color w:val="000000"/>
          <w:sz w:val="18"/>
          <w:szCs w:val="18"/>
        </w:rPr>
        <w:br/>
      </w:r>
      <w:r w:rsidRPr="0044427C">
        <w:rPr>
          <w:rStyle w:val="Strong"/>
          <w:rFonts w:ascii="Tahoma" w:hAnsi="Tahoma" w:cs="Tahoma"/>
          <w:b/>
          <w:bCs/>
          <w:color w:val="000000"/>
          <w:sz w:val="18"/>
          <w:szCs w:val="18"/>
          <w:bdr w:val="none" w:sz="0" w:space="0" w:color="auto" w:frame="1"/>
          <w:shd w:val="clear" w:color="auto" w:fill="FAFAFA"/>
        </w:rPr>
        <w:t>Results</w:t>
      </w:r>
      <w:r>
        <w:rPr>
          <w:rStyle w:val="Strong"/>
          <w:rFonts w:ascii="Tahoma" w:hAnsi="Tahoma" w:cs="Tahoma"/>
          <w:color w:val="000000"/>
          <w:sz w:val="18"/>
          <w:szCs w:val="18"/>
          <w:bdr w:val="none" w:sz="0" w:space="0" w:color="auto" w:frame="1"/>
          <w:shd w:val="clear" w:color="auto" w:fill="FAFAFA"/>
        </w:rPr>
        <w:t>: </w:t>
      </w:r>
      <w:r w:rsidRPr="0044427C">
        <w:rPr>
          <w:rFonts w:ascii="Tahoma" w:hAnsi="Tahoma" w:cs="Tahoma"/>
          <w:b w:val="0"/>
          <w:bCs w:val="0"/>
          <w:color w:val="000000"/>
          <w:sz w:val="18"/>
          <w:szCs w:val="18"/>
          <w:shd w:val="clear" w:color="auto" w:fill="FAFAFA"/>
        </w:rPr>
        <w:t>The mean anti-GAD65 antibody titer in CV B3+  samples was 4.26 ± 2.46 IU/mL</w:t>
      </w:r>
      <w:r w:rsidRPr="0044427C">
        <w:rPr>
          <w:rFonts w:ascii="Tahoma" w:hAnsi="Tahoma" w:cs="Tahoma"/>
          <w:b w:val="0"/>
          <w:bCs w:val="0"/>
          <w:color w:val="000000"/>
          <w:sz w:val="18"/>
          <w:szCs w:val="18"/>
          <w:shd w:val="clear" w:color="auto" w:fill="FAFAFA"/>
          <w:rtl/>
        </w:rPr>
        <w:t>,</w:t>
      </w:r>
      <w:r w:rsidRPr="0044427C">
        <w:rPr>
          <w:rFonts w:ascii="Tahoma" w:hAnsi="Tahoma" w:cs="Tahoma"/>
          <w:b w:val="0"/>
          <w:bCs w:val="0"/>
          <w:color w:val="000000"/>
          <w:sz w:val="18"/>
          <w:szCs w:val="18"/>
        </w:rPr>
        <w:br/>
      </w:r>
      <w:r w:rsidRPr="0044427C">
        <w:rPr>
          <w:rFonts w:ascii="Tahoma" w:hAnsi="Tahoma" w:cs="Tahoma"/>
          <w:b w:val="0"/>
          <w:bCs w:val="0"/>
          <w:color w:val="000000"/>
          <w:sz w:val="18"/>
          <w:szCs w:val="18"/>
          <w:shd w:val="clear" w:color="auto" w:fill="FAFAFA"/>
        </w:rPr>
        <w:t>and was slightly higher than that found in the CV B3-  samples with a mean titer of 3.62 ± 2.08 IU/mL (p = 0.22; 95% CI: -1.69 to 0.4). Also, the mean anti-IA-2 ELISA OD450 values in CV B3+ samples (0.260 ± 0.155) was similar with that of the CV B3- samples (0.260 ± 0.160) (p = 0.98; 95% CI: -0.079 to 0.077).</w:t>
      </w:r>
      <w:r>
        <w:rPr>
          <w:rFonts w:ascii="Tahoma" w:hAnsi="Tahoma" w:cs="Tahoma"/>
          <w:color w:val="000000"/>
          <w:sz w:val="18"/>
          <w:szCs w:val="18"/>
        </w:rPr>
        <w:br/>
      </w:r>
      <w:r w:rsidRPr="0044427C">
        <w:rPr>
          <w:rStyle w:val="Strong"/>
          <w:rFonts w:ascii="Tahoma" w:hAnsi="Tahoma" w:cs="Tahoma"/>
          <w:b/>
          <w:bCs/>
          <w:color w:val="000000"/>
          <w:sz w:val="18"/>
          <w:szCs w:val="18"/>
          <w:bdr w:val="none" w:sz="0" w:space="0" w:color="auto" w:frame="1"/>
          <w:shd w:val="clear" w:color="auto" w:fill="FAFAFA"/>
        </w:rPr>
        <w:t>Conclusion</w:t>
      </w:r>
      <w:r>
        <w:rPr>
          <w:rStyle w:val="Strong"/>
          <w:rFonts w:ascii="Tahoma" w:hAnsi="Tahoma" w:cs="Tahoma"/>
          <w:color w:val="000000"/>
          <w:sz w:val="18"/>
          <w:szCs w:val="18"/>
          <w:bdr w:val="none" w:sz="0" w:space="0" w:color="auto" w:frame="1"/>
          <w:shd w:val="clear" w:color="auto" w:fill="FAFAFA"/>
        </w:rPr>
        <w:t>: </w:t>
      </w:r>
      <w:r w:rsidRPr="0044427C">
        <w:rPr>
          <w:rFonts w:ascii="Tahoma" w:hAnsi="Tahoma" w:cs="Tahoma"/>
          <w:b w:val="0"/>
          <w:bCs w:val="0"/>
          <w:color w:val="000000"/>
          <w:sz w:val="18"/>
          <w:szCs w:val="18"/>
          <w:shd w:val="clear" w:color="auto" w:fill="FAFAFA"/>
        </w:rPr>
        <w:t>This study showed that the titer of autoantibodies in CVB3+ or CVB4+ samples were not significantly different compared to CVB- samples. The results of this study suggest that there is still a need for further investigations to prove the association of coxsackieviruses and diabetes.</w:t>
      </w:r>
      <w:r>
        <w:rPr>
          <w:b w:val="0"/>
        </w:rPr>
        <w:t xml:space="preserve"> </w:t>
      </w:r>
      <w:r w:rsidR="00A9710C">
        <w:rPr>
          <w:b w:val="0"/>
        </w:rPr>
        <w:br w:type="column"/>
      </w:r>
      <w:r w:rsidR="00A9710C">
        <w:rPr>
          <w:color w:val="BF5A14"/>
        </w:rPr>
        <w:t>Image</w:t>
      </w:r>
    </w:p>
    <w:p w14:paraId="76642710" w14:textId="77777777" w:rsidR="00AE3E37" w:rsidRPr="00077910" w:rsidRDefault="00077910" w:rsidP="00077910">
      <w:pPr>
        <w:pStyle w:val="BodyText"/>
        <w:spacing w:before="2"/>
        <w:rPr>
          <w:noProof/>
        </w:rPr>
      </w:pPr>
      <w:r w:rsidRPr="00077910">
        <w:rPr>
          <w:b/>
          <w:bCs/>
          <w:noProof/>
        </w:rPr>
        <w:drawing>
          <wp:inline distT="0" distB="0" distL="0" distR="0" wp14:anchorId="6DB71704" wp14:editId="23FAF09D">
            <wp:extent cx="3560445" cy="1461770"/>
            <wp:effectExtent l="0" t="0" r="1905" b="508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560445" cy="1461770"/>
                    </a:xfrm>
                    <a:prstGeom prst="rect">
                      <a:avLst/>
                    </a:prstGeom>
                    <a:noFill/>
                    <a:ln>
                      <a:noFill/>
                    </a:ln>
                  </pic:spPr>
                </pic:pic>
              </a:graphicData>
            </a:graphic>
          </wp:inline>
        </w:drawing>
      </w:r>
      <w:r w:rsidRPr="00077910">
        <w:rPr>
          <w:b/>
          <w:bCs/>
          <w:noProof/>
        </w:rPr>
        <w:t xml:space="preserve"> Fig. 1. </w:t>
      </w:r>
      <w:r w:rsidRPr="00077910">
        <w:rPr>
          <w:noProof/>
        </w:rPr>
        <w:t>Correlation between the levels of anti-CVB4 IgG antibodies and a) anti-GAD65 antibodies; b) anti-IA-2 antibodies</w:t>
      </w:r>
    </w:p>
    <w:p w14:paraId="7B3B8CBE" w14:textId="77777777" w:rsidR="005973B9" w:rsidRPr="00077910" w:rsidRDefault="005973B9" w:rsidP="005973B9">
      <w:pPr>
        <w:spacing w:line="204" w:lineRule="exact"/>
        <w:rPr>
          <w:rFonts w:ascii="Arial" w:cstheme="minorBidi"/>
          <w:b/>
          <w:sz w:val="20"/>
          <w:rtl/>
          <w:lang w:bidi="fa-IR"/>
        </w:rPr>
      </w:pPr>
      <w:r>
        <w:rPr>
          <w:rFonts w:ascii="Arial"/>
          <w:b/>
          <w:color w:val="BF5A14"/>
          <w:sz w:val="20"/>
        </w:rPr>
        <w:br/>
        <w:t>Recent Publications (minimum 5)</w:t>
      </w:r>
    </w:p>
    <w:p w14:paraId="2A14460F" w14:textId="77777777" w:rsidR="00991E13" w:rsidRPr="00991E13" w:rsidRDefault="00991E13" w:rsidP="00991E13">
      <w:pPr>
        <w:widowControl/>
        <w:numPr>
          <w:ilvl w:val="0"/>
          <w:numId w:val="4"/>
        </w:numPr>
        <w:spacing w:after="160" w:line="256" w:lineRule="auto"/>
        <w:contextualSpacing/>
        <w:rPr>
          <w:rFonts w:ascii="Calibri" w:eastAsia="Calibri" w:hAnsi="Calibri" w:cs="Arial"/>
          <w:lang w:bidi="fa-IR"/>
        </w:rPr>
      </w:pPr>
      <w:r w:rsidRPr="00991E13">
        <w:rPr>
          <w:rFonts w:ascii="Calibri" w:eastAsia="Calibri" w:hAnsi="Calibri" w:cs="Arial"/>
        </w:rPr>
        <w:t>Destruction mechanisms of ozone over SARS</w:t>
      </w:r>
      <w:r w:rsidRPr="00991E13">
        <w:rPr>
          <w:rFonts w:ascii="Calibri" w:eastAsia="Calibri" w:hAnsi="Calibri" w:cs="Arial"/>
        </w:rPr>
        <w:noBreakHyphen/>
        <w:t>CoV</w:t>
      </w:r>
      <w:r w:rsidRPr="00991E13">
        <w:rPr>
          <w:rFonts w:ascii="Calibri" w:eastAsia="Calibri" w:hAnsi="Calibri" w:cs="Arial"/>
        </w:rPr>
        <w:noBreakHyphen/>
        <w:t>2</w:t>
      </w:r>
      <w:r w:rsidRPr="00991E13">
        <w:rPr>
          <w:rFonts w:ascii="Calibri" w:eastAsia="Calibri" w:hAnsi="Calibri" w:cs="Arial"/>
          <w:rtl/>
        </w:rPr>
        <w:t xml:space="preserve">. </w:t>
      </w:r>
      <w:r w:rsidRPr="00991E13">
        <w:rPr>
          <w:rFonts w:ascii="Calibri" w:eastAsia="Calibri" w:hAnsi="Calibri" w:cs="Arial"/>
        </w:rPr>
        <w:t>Nature Scientific Reports, 2021</w:t>
      </w:r>
    </w:p>
    <w:p w14:paraId="66D071C8" w14:textId="77777777" w:rsidR="00991E13" w:rsidRPr="00991E13" w:rsidRDefault="00991E13" w:rsidP="00991E13">
      <w:pPr>
        <w:widowControl/>
        <w:numPr>
          <w:ilvl w:val="0"/>
          <w:numId w:val="4"/>
        </w:numPr>
        <w:contextualSpacing/>
        <w:outlineLvl w:val="0"/>
        <w:rPr>
          <w:rFonts w:ascii="Calibri" w:eastAsia="Calibri" w:hAnsi="Calibri" w:cs="Arial"/>
        </w:rPr>
      </w:pPr>
      <w:r w:rsidRPr="00991E13">
        <w:rPr>
          <w:rFonts w:ascii="Calibri" w:eastAsia="Calibri" w:hAnsi="Calibri" w:cs="Arial"/>
        </w:rPr>
        <w:t>Molecular identification of Leishmania RNA virus in cutaneous leishmaniasis patients and rodent -reservoirs in Isfahan province, Iran. Infection, Genetics and Evolution, 2022</w:t>
      </w:r>
    </w:p>
    <w:p w14:paraId="65A9F8AB" w14:textId="77777777" w:rsidR="00991E13" w:rsidRPr="00991E13" w:rsidRDefault="00991E13" w:rsidP="00991E13">
      <w:pPr>
        <w:widowControl/>
        <w:numPr>
          <w:ilvl w:val="0"/>
          <w:numId w:val="4"/>
        </w:numPr>
        <w:spacing w:after="160" w:line="256" w:lineRule="auto"/>
        <w:contextualSpacing/>
        <w:rPr>
          <w:rFonts w:ascii="Calibri" w:eastAsia="Calibri" w:hAnsi="Calibri" w:cs="Arial"/>
          <w:lang w:bidi="fa-IR"/>
        </w:rPr>
      </w:pPr>
      <w:r w:rsidRPr="00991E13">
        <w:rPr>
          <w:rFonts w:ascii="Calibri" w:eastAsia="Calibri" w:hAnsi="Calibri" w:cs="Arial"/>
        </w:rPr>
        <w:t xml:space="preserve">Disease waves of SARS-CoV-2 in Iran closely mirror global pandemic trends, </w:t>
      </w:r>
      <w:r w:rsidRPr="00991E13">
        <w:rPr>
          <w:rFonts w:ascii="Arial" w:eastAsia="Calibri" w:hAnsi="Arial" w:cs="Arial"/>
          <w:color w:val="222222"/>
          <w:sz w:val="20"/>
          <w:szCs w:val="20"/>
          <w:shd w:val="clear" w:color="auto" w:fill="FFFFFF"/>
        </w:rPr>
        <w:t>medRxiv, 2021</w:t>
      </w:r>
    </w:p>
    <w:p w14:paraId="44B5B15B" w14:textId="77777777" w:rsidR="00991E13" w:rsidRPr="00991E13" w:rsidRDefault="00991E13" w:rsidP="00991E13">
      <w:pPr>
        <w:widowControl/>
        <w:numPr>
          <w:ilvl w:val="0"/>
          <w:numId w:val="4"/>
        </w:numPr>
        <w:spacing w:after="160" w:line="256" w:lineRule="auto"/>
        <w:contextualSpacing/>
        <w:rPr>
          <w:rFonts w:ascii="Calibri" w:eastAsia="Calibri" w:hAnsi="Calibri" w:cs="Arial"/>
          <w:lang w:bidi="fa-IR"/>
        </w:rPr>
      </w:pPr>
      <w:r w:rsidRPr="00991E13">
        <w:rPr>
          <w:rFonts w:ascii="Calibri" w:eastAsia="Calibri" w:hAnsi="Calibri" w:cs="Arial"/>
        </w:rPr>
        <w:t>Inhibition of herpes simplex virus type 1 infection by Sambucus ebulus extract in vitro, Medical Journal of the Islamic Republic of Iran (MJIRI), 2021</w:t>
      </w:r>
    </w:p>
    <w:p w14:paraId="0961C5DB" w14:textId="77777777" w:rsidR="00991E13" w:rsidRPr="00991E13" w:rsidRDefault="00991E13" w:rsidP="00991E13">
      <w:pPr>
        <w:widowControl/>
        <w:numPr>
          <w:ilvl w:val="0"/>
          <w:numId w:val="4"/>
        </w:numPr>
        <w:spacing w:before="100" w:beforeAutospacing="1" w:after="100" w:afterAutospacing="1"/>
        <w:contextualSpacing/>
        <w:outlineLvl w:val="0"/>
        <w:rPr>
          <w:rFonts w:ascii="Calibri" w:eastAsia="Calibri" w:hAnsi="Calibri" w:cs="Arial"/>
        </w:rPr>
      </w:pPr>
      <w:r w:rsidRPr="00991E13">
        <w:rPr>
          <w:rFonts w:ascii="Calibri" w:eastAsia="Calibri" w:hAnsi="Calibri" w:cs="Arial"/>
        </w:rPr>
        <w:t>Detection and Phylogenetic Analysis of Hepatitis A Virus in the Wastewater Treatment Plant of Ekbatan Town in Tehran, Iran.</w:t>
      </w:r>
      <w:r w:rsidRPr="00991E13">
        <w:rPr>
          <w:rFonts w:ascii="Arial" w:eastAsia="Calibri" w:hAnsi="Arial" w:cs="Arial"/>
          <w:color w:val="222222"/>
          <w:sz w:val="20"/>
          <w:szCs w:val="20"/>
          <w:shd w:val="clear" w:color="auto" w:fill="FFFFFF"/>
        </w:rPr>
        <w:t xml:space="preserve"> Hepatitis Monthly, 2021</w:t>
      </w:r>
    </w:p>
    <w:p w14:paraId="05A59156" w14:textId="77777777" w:rsidR="00AE3E37" w:rsidRPr="008756E6" w:rsidRDefault="00AE3E37" w:rsidP="008756E6">
      <w:pPr>
        <w:tabs>
          <w:tab w:val="left" w:pos="384"/>
        </w:tabs>
        <w:ind w:right="117"/>
      </w:pPr>
    </w:p>
    <w:p w14:paraId="3BC54777"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1A53750D" w14:textId="77777777" w:rsidR="00AE3E37" w:rsidRDefault="00AE3E37">
      <w:pPr>
        <w:pStyle w:val="BodyText"/>
        <w:rPr>
          <w:rFonts w:ascii="Calibri"/>
          <w:sz w:val="20"/>
        </w:rPr>
      </w:pPr>
    </w:p>
    <w:p w14:paraId="0EBE3EE1"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6CED69C2" wp14:editId="6AFF368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3DAD488"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37EF855" w14:textId="77777777" w:rsidR="00AE3E37" w:rsidRDefault="00A52075" w:rsidP="00077910">
      <w:pPr>
        <w:spacing w:before="92"/>
        <w:ind w:right="4234"/>
        <w:rPr>
          <w:rFonts w:ascii="Arial"/>
        </w:rPr>
      </w:pPr>
      <w:r>
        <w:rPr>
          <w:rFonts w:ascii="Times New Roman" w:hAnsi="Times New Roman" w:cs="Times New Roman"/>
          <w:noProof/>
          <w:sz w:val="24"/>
          <w:szCs w:val="24"/>
        </w:rPr>
        <mc:AlternateContent>
          <mc:Choice Requires="wps">
            <w:drawing>
              <wp:anchor distT="0" distB="0" distL="114300" distR="114300" simplePos="0" relativeHeight="251658752" behindDoc="0" locked="0" layoutInCell="1" allowOverlap="1" wp14:anchorId="5BDCC1D2" wp14:editId="3F048635">
                <wp:simplePos x="0" y="0"/>
                <wp:positionH relativeFrom="column">
                  <wp:posOffset>5715000</wp:posOffset>
                </wp:positionH>
                <wp:positionV relativeFrom="paragraph">
                  <wp:posOffset>55187</wp:posOffset>
                </wp:positionV>
                <wp:extent cx="956772" cy="976746"/>
                <wp:effectExtent l="19050" t="19050" r="15240" b="1397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56772" cy="976746"/>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6C72B6CF" w14:textId="77777777" w:rsidR="00A52075" w:rsidRDefault="00077910" w:rsidP="00077910">
                            <w:pPr>
                              <w:jc w:val="center"/>
                              <w:rPr>
                                <w:b/>
                                <w:color w:val="0000FF"/>
                                <w:lang w:val="en-IN"/>
                              </w:rPr>
                            </w:pPr>
                            <w:r>
                              <w:rPr>
                                <w:b/>
                                <w:noProof/>
                                <w:color w:val="0000FF"/>
                              </w:rPr>
                              <w:drawing>
                                <wp:inline distT="0" distB="0" distL="0" distR="0" wp14:anchorId="0683F6D6" wp14:editId="0FA12120">
                                  <wp:extent cx="791405" cy="796578"/>
                                  <wp:effectExtent l="0" t="0" r="8890"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UMS.svg.png"/>
                                          <pic:cNvPicPr/>
                                        </pic:nvPicPr>
                                        <pic:blipFill>
                                          <a:blip r:embed="rId11">
                                            <a:extLst>
                                              <a:ext uri="{28A0092B-C50C-407E-A947-70E740481C1C}">
                                                <a14:useLocalDpi xmlns:a14="http://schemas.microsoft.com/office/drawing/2010/main" val="0"/>
                                              </a:ext>
                                            </a:extLst>
                                          </a:blip>
                                          <a:stretch>
                                            <a:fillRect/>
                                          </a:stretch>
                                        </pic:blipFill>
                                        <pic:spPr>
                                          <a:xfrm>
                                            <a:off x="0" y="0"/>
                                            <a:ext cx="819594" cy="824951"/>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BDCC1D2" id="Rounded Rectangle 2" o:spid="_x0000_s1026" style="position:absolute;margin-left:450pt;margin-top:4.35pt;width:75.35pt;height:76.9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" strokecolor="#9bbb59" strokeweight="2.5pt">
                <v:shadow color="#868686"/>
                <v:textbox>
                  <w:txbxContent>
                    <w:p w14:paraId="6C72B6CF" w14:textId="77777777" w:rsidR="00A52075" w:rsidRDefault="00077910" w:rsidP="00077910">
                      <w:pPr>
                        <w:jc w:val="center"/>
                        <w:rPr>
                          <w:b/>
                          <w:color w:val="0000FF"/>
                          <w:lang w:val="en-IN"/>
                        </w:rPr>
                      </w:pPr>
                      <w:r>
                        <w:rPr>
                          <w:b/>
                          <w:noProof/>
                          <w:color w:val="0000FF"/>
                        </w:rPr>
                        <w:drawing>
                          <wp:inline distT="0" distB="0" distL="0" distR="0" wp14:anchorId="0683F6D6" wp14:editId="0FA12120">
                            <wp:extent cx="791405" cy="796578"/>
                            <wp:effectExtent l="0" t="0" r="8890" b="381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UMS.svg.png"/>
                                    <pic:cNvPicPr/>
                                  </pic:nvPicPr>
                                  <pic:blipFill>
                                    <a:blip r:embed="rId11">
                                      <a:extLst>
                                        <a:ext uri="{28A0092B-C50C-407E-A947-70E740481C1C}">
                                          <a14:useLocalDpi xmlns:a14="http://schemas.microsoft.com/office/drawing/2010/main" val="0"/>
                                        </a:ext>
                                      </a:extLst>
                                    </a:blip>
                                    <a:stretch>
                                      <a:fillRect/>
                                    </a:stretch>
                                  </pic:blipFill>
                                  <pic:spPr>
                                    <a:xfrm>
                                      <a:off x="0" y="0"/>
                                      <a:ext cx="819594" cy="824951"/>
                                    </a:xfrm>
                                    <a:prstGeom prst="rect">
                                      <a:avLst/>
                                    </a:prstGeom>
                                  </pic:spPr>
                                </pic:pic>
                              </a:graphicData>
                            </a:graphic>
                          </wp:inline>
                        </w:drawing>
                      </w:r>
                    </w:p>
                  </w:txbxContent>
                </v:textbox>
              </v:roundrect>
            </w:pict>
          </mc:Fallback>
        </mc:AlternateContent>
      </w:r>
      <w:r w:rsidR="008756E6">
        <w:rPr>
          <w:noProof/>
        </w:rPr>
        <w:t xml:space="preserve">              </w:t>
      </w:r>
      <w:r w:rsidR="00077910">
        <w:rPr>
          <w:rFonts w:ascii="Arial"/>
          <w:noProof/>
          <w:color w:val="BF5A14"/>
        </w:rPr>
        <w:drawing>
          <wp:inline distT="0" distB="0" distL="0" distR="0" wp14:anchorId="2B9D6ED4" wp14:editId="51B1911C">
            <wp:extent cx="679755" cy="907473"/>
            <wp:effectExtent l="0" t="0" r="6350" b="698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ersonalphoto.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06619" cy="943336"/>
                    </a:xfrm>
                    <a:prstGeom prst="rect">
                      <a:avLst/>
                    </a:prstGeom>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14:paraId="4088175E" w14:textId="77777777" w:rsidR="00991E13" w:rsidRDefault="00991E13" w:rsidP="00991E13">
      <w:pPr>
        <w:rPr>
          <w:rFonts w:asciiTheme="minorHAnsi" w:eastAsiaTheme="minorHAnsi" w:hAnsiTheme="minorHAnsi" w:cstheme="minorBidi"/>
          <w:lang w:val="en-GB"/>
        </w:rPr>
      </w:pPr>
      <w:r>
        <w:t>Dr. Angila Ataei-Pirkooh is an Assistant Professor of Virology at Iran University of Medical Sciences and the head of the Papilloma Department at the Research Center for Clinical Virology of Tehran University of Medical Sciences.</w:t>
      </w:r>
      <w:r>
        <w:rPr>
          <w:rtl/>
        </w:rPr>
        <w:t xml:space="preserve"> </w:t>
      </w:r>
      <w:r>
        <w:t>She is also the head of the Papilloma Clinic at Lolagar Hospital in Tehran.</w:t>
      </w:r>
      <w:r>
        <w:rPr>
          <w:rtl/>
        </w:rPr>
        <w:t xml:space="preserve"> </w:t>
      </w:r>
      <w:r>
        <w:rPr>
          <w:lang w:val="en-GB"/>
        </w:rPr>
        <w:t xml:space="preserve"> She is a member of the University Consortium against Covid 19 and collaborates with Iranian Viral Disease Research Network</w:t>
      </w:r>
      <w:r>
        <w:rPr>
          <w:rtl/>
          <w:lang w:val="en-GB"/>
        </w:rPr>
        <w:t xml:space="preserve">. </w:t>
      </w:r>
    </w:p>
    <w:p w14:paraId="73BFD7AB" w14:textId="3FF53D6D" w:rsidR="00AE3E37" w:rsidRDefault="00A9710C" w:rsidP="00991E13">
      <w:pPr>
        <w:spacing w:before="62"/>
        <w:ind w:left="4217" w:right="4235"/>
        <w:jc w:val="center"/>
        <w:rPr>
          <w:rFonts w:ascii="Arial"/>
          <w:sz w:val="14"/>
        </w:rPr>
      </w:pPr>
      <w:r>
        <w:rPr>
          <w:rFonts w:ascii="Arial"/>
          <w:sz w:val="14"/>
        </w:rPr>
        <w:t xml:space="preserve">Email: </w:t>
      </w:r>
    </w:p>
    <w:p w14:paraId="21C1ACF0" w14:textId="672867CB" w:rsidR="00AE3E37" w:rsidRDefault="00340AF7" w:rsidP="00340AF7">
      <w:pPr>
        <w:pStyle w:val="BodyText"/>
        <w:spacing w:before="2"/>
        <w:jc w:val="center"/>
        <w:rPr>
          <w:rFonts w:ascii="Arial"/>
          <w:sz w:val="19"/>
        </w:rPr>
      </w:pPr>
      <w:r w:rsidRPr="00340AF7">
        <w:rPr>
          <w:rFonts w:ascii="Arial"/>
          <w:sz w:val="19"/>
        </w:rPr>
        <w:t>ataei.a@iums.ac.ir</w:t>
      </w:r>
      <w:r w:rsidR="00292ED9">
        <w:rPr>
          <w:noProof/>
        </w:rPr>
        <mc:AlternateContent>
          <mc:Choice Requires="wps">
            <w:drawing>
              <wp:anchor distT="0" distB="0" distL="0" distR="0" simplePos="0" relativeHeight="1072" behindDoc="0" locked="0" layoutInCell="1" allowOverlap="1" wp14:anchorId="2418ADB3" wp14:editId="61CC6D4A">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391DAB"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1E1449BB" w14:textId="77777777" w:rsidR="00AE3E37" w:rsidRDefault="00AE3E37">
      <w:pPr>
        <w:pStyle w:val="BodyText"/>
        <w:rPr>
          <w:rFonts w:ascii="Arial"/>
          <w:sz w:val="20"/>
        </w:rPr>
      </w:pPr>
    </w:p>
    <w:p w14:paraId="0B5D5CE9" w14:textId="77777777" w:rsidR="00AE3E37" w:rsidRDefault="00AE3E37">
      <w:pPr>
        <w:pStyle w:val="BodyText"/>
        <w:rPr>
          <w:rFonts w:ascii="Arial"/>
          <w:sz w:val="20"/>
        </w:rPr>
      </w:pPr>
    </w:p>
    <w:p w14:paraId="17C1FF2F" w14:textId="77777777" w:rsidR="00AE3E37" w:rsidRDefault="00AE3E37">
      <w:pPr>
        <w:pStyle w:val="BodyText"/>
        <w:spacing w:before="7"/>
        <w:rPr>
          <w:rFonts w:ascii="Arial"/>
          <w:sz w:val="29"/>
        </w:rPr>
      </w:pPr>
    </w:p>
    <w:p w14:paraId="08676BD2" w14:textId="77777777" w:rsidR="00AE3E37" w:rsidRDefault="00A9710C" w:rsidP="000534A1">
      <w:pPr>
        <w:spacing w:before="39"/>
        <w:ind w:left="100"/>
        <w:rPr>
          <w:rFonts w:ascii="Minion Pro"/>
          <w:b/>
          <w:sz w:val="20"/>
        </w:rPr>
      </w:pPr>
      <w:r w:rsidRPr="00B21A57">
        <w:rPr>
          <w:rFonts w:ascii="Minion Pro"/>
          <w:b/>
          <w:sz w:val="20"/>
        </w:rPr>
        <w:t>Notes/Comments:</w:t>
      </w:r>
    </w:p>
    <w:p w14:paraId="029FFE2E" w14:textId="77777777" w:rsidR="00EA7D51" w:rsidRDefault="00EA7D51" w:rsidP="000534A1">
      <w:pPr>
        <w:spacing w:before="39"/>
        <w:ind w:left="100"/>
        <w:rPr>
          <w:rFonts w:ascii="Minion Pro"/>
          <w:b/>
          <w:sz w:val="20"/>
        </w:rPr>
      </w:pPr>
    </w:p>
    <w:p w14:paraId="4EE6E89A" w14:textId="77777777" w:rsidR="00EA7D51" w:rsidRDefault="00EA7D51" w:rsidP="000534A1">
      <w:pPr>
        <w:spacing w:before="39"/>
        <w:ind w:left="100"/>
        <w:rPr>
          <w:rFonts w:ascii="Minion Pro"/>
          <w:b/>
          <w:sz w:val="20"/>
        </w:rPr>
      </w:pPr>
    </w:p>
    <w:p w14:paraId="0B763724" w14:textId="55C60F90"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340AF7">
        <w:rPr>
          <w:sz w:val="20"/>
          <w:szCs w:val="20"/>
          <w:lang w:val="en-NZ"/>
        </w:rPr>
        <w:t>Angila Ata</w:t>
      </w:r>
      <w:r w:rsidR="00F170C3">
        <w:rPr>
          <w:sz w:val="20"/>
          <w:szCs w:val="20"/>
          <w:lang w:val="en-NZ"/>
        </w:rPr>
        <w:t>ei</w:t>
      </w:r>
      <w:r w:rsidR="00340AF7">
        <w:rPr>
          <w:sz w:val="20"/>
          <w:szCs w:val="20"/>
          <w:lang w:val="en-NZ"/>
        </w:rPr>
        <w:t xml:space="preserve"> Pirkouh</w:t>
      </w:r>
      <w:r w:rsidRPr="00F35A62">
        <w:rPr>
          <w:sz w:val="20"/>
          <w:szCs w:val="20"/>
          <w:lang w:val="en-NZ"/>
        </w:rPr>
        <w:br/>
        <w:t>Contact number:</w:t>
      </w:r>
      <w:r w:rsidR="00340AF7">
        <w:rPr>
          <w:sz w:val="20"/>
          <w:szCs w:val="20"/>
          <w:lang w:val="en-NZ"/>
        </w:rPr>
        <w:t xml:space="preserve"> </w:t>
      </w:r>
      <w:r w:rsidR="00340AF7">
        <w:rPr>
          <w:rFonts w:cstheme="minorBidi"/>
          <w:sz w:val="20"/>
          <w:szCs w:val="20"/>
          <w:lang w:bidi="fa-IR"/>
        </w:rPr>
        <w:t>00989126812580</w:t>
      </w:r>
      <w:r w:rsidRPr="00F35A62">
        <w:rPr>
          <w:sz w:val="20"/>
          <w:szCs w:val="20"/>
          <w:lang w:val="en-NZ"/>
        </w:rPr>
        <w:br/>
        <w:t>Twitter account:</w:t>
      </w:r>
      <w:r w:rsidRPr="00F35A62">
        <w:rPr>
          <w:sz w:val="20"/>
          <w:szCs w:val="20"/>
          <w:lang w:val="en-NZ"/>
        </w:rPr>
        <w:br/>
        <w:t>Linked In account:</w:t>
      </w:r>
    </w:p>
    <w:p w14:paraId="512E065E" w14:textId="15E28280" w:rsidR="00AE3E37" w:rsidRDefault="00EA7D51" w:rsidP="001B4206">
      <w:pPr>
        <w:autoSpaceDE w:val="0"/>
        <w:autoSpaceDN w:val="0"/>
        <w:adjustRightInd w:val="0"/>
        <w:rPr>
          <w:rFonts w:ascii="Minion Pro"/>
          <w:sz w:val="26"/>
        </w:rPr>
      </w:pPr>
      <w:r w:rsidRPr="00F35A62">
        <w:rPr>
          <w:sz w:val="20"/>
          <w:szCs w:val="20"/>
          <w:lang w:val="en-NZ"/>
        </w:rPr>
        <w:t>Se</w:t>
      </w:r>
      <w:r w:rsidR="00340AF7">
        <w:rPr>
          <w:sz w:val="20"/>
          <w:szCs w:val="20"/>
          <w:lang w:val="en-NZ"/>
        </w:rPr>
        <w:t xml:space="preserve">ssion name/ number: </w:t>
      </w:r>
      <w:r w:rsidR="00340AF7">
        <w:rPr>
          <w:sz w:val="20"/>
          <w:szCs w:val="20"/>
          <w:lang w:val="en-NZ"/>
        </w:rPr>
        <w:br/>
        <w:t xml:space="preserve">Category: </w:t>
      </w:r>
      <w:r w:rsidRPr="00F35A62">
        <w:rPr>
          <w:sz w:val="20"/>
          <w:szCs w:val="20"/>
          <w:lang w:val="en-NZ"/>
        </w:rPr>
        <w:t>Oral pre</w:t>
      </w:r>
      <w:r w:rsidR="00340AF7">
        <w:rPr>
          <w:sz w:val="20"/>
          <w:szCs w:val="20"/>
          <w:lang w:val="en-NZ"/>
        </w:rPr>
        <w:t>sentation</w:t>
      </w: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7E55743" w14:textId="77777777" w:rsidR="00341E6D" w:rsidRDefault="00341E6D">
      <w:r>
        <w:separator/>
      </w:r>
    </w:p>
  </w:endnote>
  <w:endnote w:type="continuationSeparator" w:id="0">
    <w:p w14:paraId="3A20847D" w14:textId="77777777" w:rsidR="00341E6D" w:rsidRDefault="00341E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F8464A"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D5BB946" wp14:editId="32DF8C1F">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8070A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16DF6E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5BB946"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338070A3"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16DF6E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450F44FF" wp14:editId="75D6CC4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76091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8475E7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0F44FF"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41760916"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8475E7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4C67408B" wp14:editId="3023E77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4F6F2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468084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67408B"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3A4F6F27"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468084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2B1BD2" w14:textId="77777777" w:rsidR="00341E6D" w:rsidRDefault="00341E6D">
      <w:r>
        <w:separator/>
      </w:r>
    </w:p>
  </w:footnote>
  <w:footnote w:type="continuationSeparator" w:id="0">
    <w:p w14:paraId="52E49548" w14:textId="77777777" w:rsidR="00341E6D" w:rsidRDefault="00341E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5BA213B5"/>
    <w:multiLevelType w:val="hybridMultilevel"/>
    <w:tmpl w:val="1B421800"/>
    <w:lvl w:ilvl="0" w:tplc="96887A4C">
      <w:start w:val="1"/>
      <w:numFmt w:val="decimal"/>
      <w:lvlText w:val="%1-"/>
      <w:lvlJc w:val="left"/>
      <w:pPr>
        <w:ind w:left="81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E37"/>
    <w:rsid w:val="0001343B"/>
    <w:rsid w:val="000534A1"/>
    <w:rsid w:val="0006797A"/>
    <w:rsid w:val="00077910"/>
    <w:rsid w:val="000B4CAA"/>
    <w:rsid w:val="000E2911"/>
    <w:rsid w:val="001263DF"/>
    <w:rsid w:val="001B4206"/>
    <w:rsid w:val="00292ED9"/>
    <w:rsid w:val="00340AF7"/>
    <w:rsid w:val="00341E6D"/>
    <w:rsid w:val="00351D9B"/>
    <w:rsid w:val="00380299"/>
    <w:rsid w:val="00404E5B"/>
    <w:rsid w:val="00414F7B"/>
    <w:rsid w:val="004355DC"/>
    <w:rsid w:val="0044427C"/>
    <w:rsid w:val="004749B4"/>
    <w:rsid w:val="00475D20"/>
    <w:rsid w:val="00494130"/>
    <w:rsid w:val="004F3523"/>
    <w:rsid w:val="00590D60"/>
    <w:rsid w:val="005973B9"/>
    <w:rsid w:val="005B3A56"/>
    <w:rsid w:val="006060CE"/>
    <w:rsid w:val="0061505C"/>
    <w:rsid w:val="0063497F"/>
    <w:rsid w:val="006E145D"/>
    <w:rsid w:val="00714354"/>
    <w:rsid w:val="00873DF0"/>
    <w:rsid w:val="008756E6"/>
    <w:rsid w:val="00882F8B"/>
    <w:rsid w:val="00895C20"/>
    <w:rsid w:val="00897EC5"/>
    <w:rsid w:val="008A0763"/>
    <w:rsid w:val="008E5477"/>
    <w:rsid w:val="00991E13"/>
    <w:rsid w:val="009B2D44"/>
    <w:rsid w:val="00A07E82"/>
    <w:rsid w:val="00A52075"/>
    <w:rsid w:val="00A9710C"/>
    <w:rsid w:val="00AD19F8"/>
    <w:rsid w:val="00AE3E37"/>
    <w:rsid w:val="00B21A57"/>
    <w:rsid w:val="00B729F9"/>
    <w:rsid w:val="00BE6743"/>
    <w:rsid w:val="00C33602"/>
    <w:rsid w:val="00C56C74"/>
    <w:rsid w:val="00C9614F"/>
    <w:rsid w:val="00CD6F55"/>
    <w:rsid w:val="00DE3104"/>
    <w:rsid w:val="00DE6170"/>
    <w:rsid w:val="00E30AAC"/>
    <w:rsid w:val="00E95D97"/>
    <w:rsid w:val="00EA7D51"/>
    <w:rsid w:val="00F046EA"/>
    <w:rsid w:val="00F170C3"/>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82C1771"/>
  <w15:docId w15:val="{1E11CF35-070A-4A06-B449-C63F0ECB65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Strong">
    <w:name w:val="Strong"/>
    <w:basedOn w:val="DefaultParagraphFont"/>
    <w:uiPriority w:val="22"/>
    <w:qFormat/>
    <w:rsid w:val="0044427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66488888">
      <w:bodyDiv w:val="1"/>
      <w:marLeft w:val="0"/>
      <w:marRight w:val="0"/>
      <w:marTop w:val="0"/>
      <w:marBottom w:val="0"/>
      <w:divBdr>
        <w:top w:val="none" w:sz="0" w:space="0" w:color="auto"/>
        <w:left w:val="none" w:sz="0" w:space="0" w:color="auto"/>
        <w:bottom w:val="none" w:sz="0" w:space="0" w:color="auto"/>
        <w:right w:val="none" w:sz="0" w:space="0" w:color="auto"/>
      </w:divBdr>
    </w:div>
    <w:div w:id="206617978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journal.isv.org.ir/search.php?sid=1&amp;slc_lang=en&amp;auth=Kachooei+Mohagheghi+Yaghub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journal.isv.org.ir/search.php?sid=1&amp;slc_lang=en&amp;auth=Ataei-Pirkooh" TargetMode="Externa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544</Words>
  <Characters>3107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mahmood boorboor</cp:lastModifiedBy>
  <cp:revision>4</cp:revision>
  <dcterms:created xsi:type="dcterms:W3CDTF">2022-02-19T18:53:00Z</dcterms:created>
  <dcterms:modified xsi:type="dcterms:W3CDTF">2022-02-20T07:52:00Z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