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97512" w14:textId="45286683" w:rsidR="00AE3E37" w:rsidRDefault="00EE62A3" w:rsidP="00EE62A3">
      <w:pPr>
        <w:pStyle w:val="Heading1"/>
        <w:spacing w:before="170"/>
        <w:jc w:val="both"/>
      </w:pPr>
      <w:r w:rsidRPr="00EE62A3">
        <w:rPr>
          <w:color w:val="337AB7"/>
        </w:rPr>
        <w:t>Decontamination of high-efficiency mask filters from respiratory pathogens including SARS-CoV-2 by non-thermal plasma</w:t>
      </w:r>
    </w:p>
    <w:p w14:paraId="4706E2F0" w14:textId="11E536ED" w:rsidR="00EE62A3" w:rsidRPr="00EE62A3" w:rsidRDefault="00EE62A3" w:rsidP="00EE62A3">
      <w:pPr>
        <w:pStyle w:val="BodyText"/>
        <w:spacing w:before="73" w:line="198" w:lineRule="exact"/>
        <w:ind w:left="100" w:right="5987"/>
        <w:rPr>
          <w:rFonts w:ascii="Arial"/>
        </w:rPr>
      </w:pPr>
      <w:r w:rsidRPr="00EE62A3">
        <w:rPr>
          <w:rFonts w:ascii="Arial"/>
        </w:rPr>
        <w:t>Kl</w:t>
      </w:r>
      <w:r>
        <w:rPr>
          <w:rFonts w:ascii="Arial"/>
        </w:rPr>
        <w:t>a</w:t>
      </w:r>
      <w:r w:rsidRPr="00EE62A3">
        <w:rPr>
          <w:rFonts w:ascii="Arial"/>
        </w:rPr>
        <w:t>ra Obrov</w:t>
      </w:r>
      <w:r>
        <w:rPr>
          <w:rFonts w:ascii="Arial"/>
        </w:rPr>
        <w:t xml:space="preserve">a, PhD, </w:t>
      </w:r>
      <w:r w:rsidRPr="00EE62A3">
        <w:rPr>
          <w:rFonts w:ascii="Arial"/>
        </w:rPr>
        <w:t>St. Anna Children</w:t>
      </w:r>
      <w:r w:rsidRPr="00EE62A3">
        <w:rPr>
          <w:rFonts w:ascii="Arial"/>
        </w:rPr>
        <w:t>’</w:t>
      </w:r>
      <w:r w:rsidRPr="00EE62A3">
        <w:rPr>
          <w:rFonts w:ascii="Arial"/>
        </w:rPr>
        <w:t xml:space="preserve">s Cancer Research </w:t>
      </w:r>
      <w:r>
        <w:rPr>
          <w:rFonts w:ascii="Arial"/>
        </w:rPr>
        <w:t>I</w:t>
      </w:r>
      <w:r w:rsidRPr="00EE62A3">
        <w:rPr>
          <w:rFonts w:ascii="Arial"/>
        </w:rPr>
        <w:t>nstitute, Vienna, Austria</w:t>
      </w:r>
    </w:p>
    <w:p w14:paraId="23321BE2" w14:textId="117007BA" w:rsidR="00EE62A3" w:rsidRPr="00EE62A3" w:rsidRDefault="00EE62A3" w:rsidP="00EE62A3">
      <w:pPr>
        <w:pStyle w:val="BodyText"/>
        <w:spacing w:before="73" w:line="198" w:lineRule="exact"/>
        <w:ind w:left="100" w:right="5987"/>
        <w:rPr>
          <w:rFonts w:ascii="Arial"/>
        </w:rPr>
      </w:pPr>
      <w:r>
        <w:rPr>
          <w:rFonts w:ascii="Arial"/>
        </w:rPr>
        <w:t xml:space="preserve">Prof. Thomas Lion, </w:t>
      </w:r>
      <w:r w:rsidRPr="00EE62A3">
        <w:rPr>
          <w:rFonts w:ascii="Arial"/>
        </w:rPr>
        <w:t>St. Anna Children</w:t>
      </w:r>
      <w:r w:rsidRPr="00EE62A3">
        <w:rPr>
          <w:rFonts w:ascii="Arial"/>
        </w:rPr>
        <w:t>’</w:t>
      </w:r>
      <w:r w:rsidRPr="00EE62A3">
        <w:rPr>
          <w:rFonts w:ascii="Arial"/>
        </w:rPr>
        <w:t xml:space="preserve">s Cancer Research </w:t>
      </w:r>
      <w:r>
        <w:rPr>
          <w:rFonts w:ascii="Arial"/>
        </w:rPr>
        <w:t>I</w:t>
      </w:r>
      <w:r w:rsidRPr="00EE62A3">
        <w:rPr>
          <w:rFonts w:ascii="Arial"/>
        </w:rPr>
        <w:t>nstitute, Vienna, Austria</w:t>
      </w:r>
    </w:p>
    <w:p w14:paraId="78DF4BF2" w14:textId="77777777" w:rsidR="00AE3E37" w:rsidRDefault="00AE3E37">
      <w:pPr>
        <w:pStyle w:val="BodyText"/>
        <w:rPr>
          <w:rFonts w:ascii="Arial"/>
          <w:sz w:val="20"/>
        </w:rPr>
      </w:pPr>
    </w:p>
    <w:p w14:paraId="29717B40"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0192154E" w14:textId="77777777" w:rsidR="00AE3E37" w:rsidRDefault="00A9710C">
      <w:pPr>
        <w:pStyle w:val="Heading3"/>
        <w:spacing w:before="147"/>
        <w:jc w:val="both"/>
      </w:pPr>
      <w:r>
        <w:rPr>
          <w:color w:val="BF5A14"/>
        </w:rPr>
        <w:t>Abstract</w:t>
      </w:r>
      <w:r w:rsidR="00404E5B">
        <w:rPr>
          <w:color w:val="BF5A14"/>
        </w:rPr>
        <w:t xml:space="preserve"> (300 word limit)</w:t>
      </w:r>
    </w:p>
    <w:p w14:paraId="376DB3FD" w14:textId="54B76571" w:rsidR="00204E07" w:rsidRPr="00204E07" w:rsidRDefault="00A9710C" w:rsidP="00204E07">
      <w:pPr>
        <w:pStyle w:val="BodyText"/>
        <w:spacing w:before="90" w:line="280" w:lineRule="auto"/>
        <w:ind w:left="100"/>
        <w:jc w:val="both"/>
        <w:rPr>
          <w:lang w:val="en-GB"/>
        </w:rPr>
      </w:pPr>
      <w:r w:rsidRPr="00556400">
        <w:rPr>
          <w:b/>
          <w:bCs/>
        </w:rPr>
        <w:t>Statement of the Problem:</w:t>
      </w:r>
      <w:r>
        <w:t xml:space="preserve"> </w:t>
      </w:r>
      <w:r w:rsidR="00204E07" w:rsidRPr="00204E07">
        <w:rPr>
          <w:lang w:val="en-GB"/>
        </w:rPr>
        <w:t>The COVID-19 pandemic has highlighted the need for efficient decontamination of surfaces and objects of daily use to prevent virus transmission by smear infection. Objects not amenable to decontamination by liquid disinfectants or heat may pose a particular challenge. The severe shortage of personal protective equipment</w:t>
      </w:r>
      <w:r w:rsidR="00204E07">
        <w:rPr>
          <w:lang w:val="en-GB"/>
        </w:rPr>
        <w:t xml:space="preserve"> (PPE)</w:t>
      </w:r>
      <w:r w:rsidR="00204E07" w:rsidRPr="00204E07">
        <w:rPr>
          <w:lang w:val="en-GB"/>
        </w:rPr>
        <w:t xml:space="preserve"> in the initial phase of the pandemic underscored the advantages of having access to reusable gear. </w:t>
      </w:r>
      <w:r w:rsidR="00204E07" w:rsidRPr="00253516">
        <w:t>This requires an efficient decontamination technique that</w:t>
      </w:r>
      <w:r w:rsidR="00204E07">
        <w:t xml:space="preserve"> preserves functionality of the sensitive materials used for PPE production</w:t>
      </w:r>
      <w:r w:rsidR="00204E07" w:rsidRPr="00965B7C">
        <w:t>.</w:t>
      </w:r>
    </w:p>
    <w:p w14:paraId="4730AABC" w14:textId="34EC28FB" w:rsidR="00092050" w:rsidRDefault="00A9710C">
      <w:pPr>
        <w:pStyle w:val="BodyText"/>
        <w:spacing w:before="90" w:line="280" w:lineRule="auto"/>
        <w:ind w:left="100"/>
        <w:jc w:val="both"/>
      </w:pPr>
      <w:r w:rsidRPr="00556400">
        <w:rPr>
          <w:b/>
          <w:bCs/>
        </w:rPr>
        <w:t>Methodolog</w:t>
      </w:r>
      <w:r w:rsidR="008756E6" w:rsidRPr="00556400">
        <w:rPr>
          <w:b/>
          <w:bCs/>
        </w:rPr>
        <w:t>y:</w:t>
      </w:r>
      <w:r w:rsidR="008756E6">
        <w:t xml:space="preserve"> </w:t>
      </w:r>
      <w:r w:rsidR="00204E07" w:rsidRPr="00965B7C">
        <w:t xml:space="preserve">Non-thermal </w:t>
      </w:r>
      <w:r w:rsidR="00204E07" w:rsidRPr="0040456E">
        <w:t>plasma (</w:t>
      </w:r>
      <w:r w:rsidR="00204E07">
        <w:t>NT</w:t>
      </w:r>
      <w:r w:rsidR="00204E07" w:rsidRPr="0040456E">
        <w:t xml:space="preserve">P) is a </w:t>
      </w:r>
      <w:r w:rsidR="00091526">
        <w:t xml:space="preserve">novel </w:t>
      </w:r>
      <w:r w:rsidR="00204E07" w:rsidRPr="0040456E">
        <w:t xml:space="preserve">decontamination technique </w:t>
      </w:r>
      <w:r w:rsidR="00204E07">
        <w:t>with documented</w:t>
      </w:r>
      <w:r w:rsidR="00204E07" w:rsidRPr="0040456E">
        <w:t xml:space="preserve"> efficiency </w:t>
      </w:r>
      <w:r w:rsidR="00204E07" w:rsidRPr="00162D5D">
        <w:t>against select bacterial</w:t>
      </w:r>
      <w:r w:rsidR="00204E07">
        <w:t xml:space="preserve"> and fungal</w:t>
      </w:r>
      <w:r w:rsidR="00204E07" w:rsidRPr="0040456E">
        <w:t xml:space="preserve"> pathogens combined with low damage to exposed materials. We have investigated </w:t>
      </w:r>
      <w:r w:rsidR="00204E07">
        <w:t>NT</w:t>
      </w:r>
      <w:r w:rsidR="00204E07" w:rsidRPr="0040456E">
        <w:t>P</w:t>
      </w:r>
      <w:r w:rsidR="00204E07">
        <w:t xml:space="preserve"> for decontamination of </w:t>
      </w:r>
      <w:r w:rsidR="00204E07" w:rsidRPr="00B3025F">
        <w:t>high-efficiency</w:t>
      </w:r>
      <w:r w:rsidR="00204E07" w:rsidRPr="009F1EC7">
        <w:t xml:space="preserve"> </w:t>
      </w:r>
      <w:r w:rsidR="004E45B0">
        <w:t>PPE</w:t>
      </w:r>
      <w:r w:rsidR="00204E07" w:rsidRPr="0040456E">
        <w:t xml:space="preserve"> filters from </w:t>
      </w:r>
      <w:r w:rsidR="00204E07" w:rsidRPr="00B3025F">
        <w:t>vir</w:t>
      </w:r>
      <w:r w:rsidR="00204E07" w:rsidRPr="00E3672E">
        <w:t xml:space="preserve">al respiratory pathogens </w:t>
      </w:r>
      <w:r w:rsidR="00204E07">
        <w:t>and compared it</w:t>
      </w:r>
      <w:r w:rsidR="00204E07" w:rsidRPr="00E3672E">
        <w:t xml:space="preserve"> to other commonly used techniques.</w:t>
      </w:r>
    </w:p>
    <w:p w14:paraId="36027601" w14:textId="3ED21747" w:rsidR="00092050" w:rsidRDefault="00A9710C">
      <w:pPr>
        <w:pStyle w:val="BodyText"/>
        <w:spacing w:before="90" w:line="280" w:lineRule="auto"/>
        <w:ind w:left="100"/>
        <w:jc w:val="both"/>
      </w:pPr>
      <w:r w:rsidRPr="00556400">
        <w:rPr>
          <w:b/>
          <w:bCs/>
        </w:rPr>
        <w:t>Findings:</w:t>
      </w:r>
      <w:r>
        <w:t xml:space="preserve"> </w:t>
      </w:r>
      <w:r w:rsidR="000A5651" w:rsidRPr="00E3672E">
        <w:t>We show that NTP treatment completely inactivates SARS-CoV-2 and three other common human respiratory viruses including Influenza A, Rhinovirus and Adenovirus, revealing an efficiency comparable to 90 °C dry heat or UVC</w:t>
      </w:r>
      <w:r w:rsidR="000A5651" w:rsidRPr="00550A74">
        <w:t xml:space="preserve"> light. Unlike some of the tested techniques (e.g., </w:t>
      </w:r>
      <w:r w:rsidR="00091526">
        <w:t>autoclaving</w:t>
      </w:r>
      <w:r w:rsidR="000A5651">
        <w:t>)</w:t>
      </w:r>
      <w:r w:rsidR="000A5651" w:rsidRPr="00550A74">
        <w:t xml:space="preserve">, </w:t>
      </w:r>
      <w:r w:rsidR="000A5651">
        <w:t>NT</w:t>
      </w:r>
      <w:r w:rsidR="000A5651" w:rsidRPr="00550A74">
        <w:t xml:space="preserve">P </w:t>
      </w:r>
      <w:r w:rsidR="000A5651">
        <w:t>neither</w:t>
      </w:r>
      <w:r w:rsidR="000A5651" w:rsidRPr="00550A74">
        <w:t xml:space="preserve"> influence</w:t>
      </w:r>
      <w:r w:rsidR="000A5651">
        <w:t>d</w:t>
      </w:r>
      <w:r w:rsidR="000A5651" w:rsidRPr="00550A74">
        <w:t xml:space="preserve"> the filtering </w:t>
      </w:r>
      <w:r w:rsidR="000A5651">
        <w:t>efficiency</w:t>
      </w:r>
      <w:r w:rsidR="000A5651" w:rsidRPr="00550A74">
        <w:t xml:space="preserve"> nor the microstructure of the filter. </w:t>
      </w:r>
      <w:r>
        <w:t xml:space="preserve"> </w:t>
      </w:r>
    </w:p>
    <w:p w14:paraId="384E6B14" w14:textId="239748E4" w:rsidR="000A5651" w:rsidRPr="000A5651" w:rsidRDefault="00A9710C" w:rsidP="000A5651">
      <w:pPr>
        <w:pStyle w:val="BodyText"/>
        <w:spacing w:before="90" w:line="280" w:lineRule="auto"/>
        <w:ind w:left="100"/>
      </w:pPr>
      <w:r w:rsidRPr="00556400">
        <w:rPr>
          <w:b/>
          <w:bCs/>
        </w:rPr>
        <w:t>Conclusion &amp; Significance:</w:t>
      </w:r>
      <w:r>
        <w:t xml:space="preserve"> </w:t>
      </w:r>
      <w:r w:rsidR="000A5651" w:rsidRPr="000A5651">
        <w:t>We demonstrate that NTP is a powerful and economic technology for efficient decontamination of protective filters and other sensitive materials from different respiratory pathogens.</w:t>
      </w:r>
      <w:r w:rsidR="000A5651">
        <w:t xml:space="preserve"> </w:t>
      </w:r>
    </w:p>
    <w:p w14:paraId="5C47F6A6" w14:textId="336EB64F" w:rsidR="00AE3E37" w:rsidRDefault="00AE3E37">
      <w:pPr>
        <w:pStyle w:val="BodyText"/>
        <w:spacing w:before="90" w:line="280" w:lineRule="auto"/>
        <w:ind w:left="100"/>
        <w:jc w:val="both"/>
      </w:pPr>
    </w:p>
    <w:p w14:paraId="4FCE29AD" w14:textId="21A37EF4" w:rsidR="00AE3E37" w:rsidRDefault="00A9710C">
      <w:pPr>
        <w:pStyle w:val="Heading3"/>
        <w:spacing w:before="74"/>
      </w:pPr>
      <w:r>
        <w:rPr>
          <w:b w:val="0"/>
        </w:rPr>
        <w:br w:type="column"/>
      </w:r>
      <w:r>
        <w:rPr>
          <w:color w:val="BF5A14"/>
        </w:rPr>
        <w:t>Image</w:t>
      </w:r>
    </w:p>
    <w:p w14:paraId="3321C251" w14:textId="1CC91664" w:rsidR="00AE3E37" w:rsidRDefault="00092050">
      <w:pPr>
        <w:pStyle w:val="BodyText"/>
        <w:spacing w:before="2"/>
        <w:rPr>
          <w:rFonts w:ascii="Arial"/>
          <w:b/>
          <w:sz w:val="16"/>
        </w:rPr>
      </w:pPr>
      <w:r>
        <w:rPr>
          <w:noProof/>
        </w:rPr>
        <w:drawing>
          <wp:inline distT="0" distB="0" distL="0" distR="0" wp14:anchorId="04CD7A2C" wp14:editId="03C1F306">
            <wp:extent cx="3162300" cy="2342826"/>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162300" cy="2342826"/>
                    </a:xfrm>
                    <a:prstGeom prst="rect">
                      <a:avLst/>
                    </a:prstGeom>
                    <a:noFill/>
                    <a:ln>
                      <a:noFill/>
                    </a:ln>
                  </pic:spPr>
                </pic:pic>
              </a:graphicData>
            </a:graphic>
          </wp:inline>
        </w:drawing>
      </w:r>
    </w:p>
    <w:p w14:paraId="095781A6" w14:textId="5E68F04B" w:rsidR="00C22EF4" w:rsidRPr="00C22EF4" w:rsidRDefault="005973B9" w:rsidP="00C22EF4">
      <w:pPr>
        <w:spacing w:line="204" w:lineRule="exact"/>
        <w:rPr>
          <w:sz w:val="18"/>
          <w:szCs w:val="18"/>
        </w:rPr>
      </w:pPr>
      <w:r>
        <w:rPr>
          <w:rFonts w:ascii="Arial"/>
          <w:b/>
          <w:color w:val="BF5A14"/>
          <w:sz w:val="20"/>
        </w:rPr>
        <w:br/>
      </w:r>
      <w:r w:rsidR="00C22EF4" w:rsidRPr="00C22EF4">
        <w:rPr>
          <w:b/>
          <w:bCs/>
          <w:sz w:val="18"/>
          <w:szCs w:val="18"/>
        </w:rPr>
        <w:t>Virus infectivity upon NTP treatment is reduced more rapidly than genome copy numbers.</w:t>
      </w:r>
      <w:r w:rsidR="00C22EF4" w:rsidRPr="00C22EF4">
        <w:rPr>
          <w:sz w:val="18"/>
          <w:szCs w:val="18"/>
        </w:rPr>
        <w:t xml:space="preserve"> Virus inoculum </w:t>
      </w:r>
      <w:r w:rsidR="00C22EF4">
        <w:rPr>
          <w:sz w:val="18"/>
          <w:szCs w:val="18"/>
        </w:rPr>
        <w:t>was</w:t>
      </w:r>
      <w:r w:rsidR="00C22EF4" w:rsidRPr="00C22EF4">
        <w:rPr>
          <w:sz w:val="18"/>
          <w:szCs w:val="18"/>
        </w:rPr>
        <w:t xml:space="preserve"> exposed to NTP for the indicated times. Residual virus was recovered and titers were determined by TCID50 (infectious titer) and qPCR (DNA/RNA genome copies). HAdV = human adenovirus, HRV = human Rhinovirus, IAV = Influenza A, SARS-CoV-2 = severe acute respiratory syndrome coronavirus 2 </w:t>
      </w:r>
    </w:p>
    <w:p w14:paraId="548F75BF" w14:textId="77777777" w:rsidR="00C22EF4" w:rsidRDefault="00C22EF4" w:rsidP="005973B9">
      <w:pPr>
        <w:spacing w:line="204" w:lineRule="exact"/>
        <w:rPr>
          <w:rFonts w:ascii="Arial"/>
          <w:b/>
          <w:color w:val="BF5A14"/>
          <w:sz w:val="20"/>
        </w:rPr>
      </w:pPr>
    </w:p>
    <w:p w14:paraId="3128698E" w14:textId="22593D40" w:rsidR="005973B9" w:rsidRDefault="005973B9" w:rsidP="005973B9">
      <w:pPr>
        <w:spacing w:line="204" w:lineRule="exact"/>
        <w:rPr>
          <w:rFonts w:ascii="Arial"/>
          <w:b/>
          <w:sz w:val="20"/>
        </w:rPr>
      </w:pPr>
      <w:r>
        <w:rPr>
          <w:rFonts w:ascii="Arial"/>
          <w:b/>
          <w:color w:val="BF5A14"/>
          <w:sz w:val="20"/>
        </w:rPr>
        <w:t>Recent Publications (minimum 5)</w:t>
      </w:r>
    </w:p>
    <w:p w14:paraId="67AFF665" w14:textId="02D9EBB2" w:rsidR="000F28F4" w:rsidRDefault="000F28F4" w:rsidP="00C82504">
      <w:pPr>
        <w:tabs>
          <w:tab w:val="left" w:pos="384"/>
        </w:tabs>
        <w:ind w:right="117"/>
        <w:rPr>
          <w:rFonts w:ascii="Calibri" w:eastAsia="Calibri" w:hAnsi="Calibri" w:cs="Calibri"/>
          <w:sz w:val="18"/>
        </w:rPr>
      </w:pPr>
      <w:r>
        <w:rPr>
          <w:rFonts w:ascii="Calibri" w:eastAsia="Calibri" w:hAnsi="Calibri" w:cs="Calibri"/>
          <w:sz w:val="18"/>
        </w:rPr>
        <w:t xml:space="preserve">1. </w:t>
      </w:r>
      <w:r w:rsidRPr="000F28F4">
        <w:rPr>
          <w:rFonts w:ascii="Calibri" w:eastAsia="Calibri" w:hAnsi="Calibri" w:cs="Calibri"/>
          <w:sz w:val="18"/>
        </w:rPr>
        <w:t xml:space="preserve">Vaňková E, </w:t>
      </w:r>
      <w:r>
        <w:rPr>
          <w:rFonts w:ascii="Calibri" w:eastAsia="Calibri" w:hAnsi="Calibri" w:cs="Calibri"/>
          <w:sz w:val="18"/>
        </w:rPr>
        <w:t>…</w:t>
      </w:r>
      <w:r w:rsidRPr="000F28F4">
        <w:rPr>
          <w:rFonts w:ascii="Calibri" w:eastAsia="Calibri" w:hAnsi="Calibri" w:cs="Calibri"/>
          <w:sz w:val="18"/>
        </w:rPr>
        <w:t xml:space="preserve">, </w:t>
      </w:r>
      <w:r w:rsidRPr="000F28F4">
        <w:rPr>
          <w:rFonts w:ascii="Calibri" w:eastAsia="Calibri" w:hAnsi="Calibri" w:cs="Calibri"/>
          <w:b/>
          <w:bCs/>
          <w:sz w:val="18"/>
        </w:rPr>
        <w:t>Obrová K,</w:t>
      </w:r>
      <w:r w:rsidRPr="000F28F4">
        <w:rPr>
          <w:rFonts w:ascii="Calibri" w:eastAsia="Calibri" w:hAnsi="Calibri" w:cs="Calibri"/>
          <w:sz w:val="18"/>
        </w:rPr>
        <w:t xml:space="preserve"> Kosulin K, Lion T, Scholtz V. Polylactic acid as a suitable material for 3D printing of protective masks in times of COVID-19 pandemic. PeerJ. 2020 Oct 29;8:e10259. doi: 10.7717/peerj.10259. PMID: 33194427; PMCID: PMC7603793.</w:t>
      </w:r>
    </w:p>
    <w:p w14:paraId="6E054258" w14:textId="6D8A24BA" w:rsidR="000C0C49" w:rsidRDefault="000C0C49" w:rsidP="00C82504">
      <w:pPr>
        <w:tabs>
          <w:tab w:val="left" w:pos="384"/>
        </w:tabs>
        <w:ind w:right="117"/>
        <w:rPr>
          <w:rFonts w:ascii="Calibri" w:eastAsia="Calibri" w:hAnsi="Calibri" w:cs="Calibri"/>
          <w:sz w:val="18"/>
        </w:rPr>
      </w:pPr>
      <w:r>
        <w:rPr>
          <w:rFonts w:ascii="Calibri" w:eastAsia="Calibri" w:hAnsi="Calibri" w:cs="Calibri"/>
          <w:sz w:val="18"/>
        </w:rPr>
        <w:t xml:space="preserve">2. </w:t>
      </w:r>
      <w:r w:rsidRPr="000C0C49">
        <w:rPr>
          <w:rFonts w:ascii="Calibri" w:eastAsia="Calibri" w:hAnsi="Calibri" w:cs="Calibri"/>
          <w:b/>
          <w:bCs/>
          <w:sz w:val="18"/>
        </w:rPr>
        <w:t>Obrová K</w:t>
      </w:r>
      <w:r w:rsidRPr="000C0C49">
        <w:rPr>
          <w:rFonts w:ascii="Calibri" w:eastAsia="Calibri" w:hAnsi="Calibri" w:cs="Calibri"/>
          <w:sz w:val="18"/>
        </w:rPr>
        <w:t xml:space="preserve">, </w:t>
      </w:r>
      <w:r>
        <w:rPr>
          <w:rFonts w:ascii="Calibri" w:eastAsia="Calibri" w:hAnsi="Calibri" w:cs="Calibri"/>
          <w:sz w:val="18"/>
        </w:rPr>
        <w:t>….</w:t>
      </w:r>
      <w:r w:rsidRPr="000C0C49">
        <w:rPr>
          <w:rFonts w:ascii="Calibri" w:eastAsia="Calibri" w:hAnsi="Calibri" w:cs="Calibri"/>
          <w:sz w:val="18"/>
        </w:rPr>
        <w:t>, Lion T. Presence of viremia during febrile neutropenic episodes in patients undergoing chemotherapy for malignant neoplasms. Am J Hematol. 2021 Jun 1;96(6):719-726. doi: 10.1002/ajh.26177. Epub 2021 May 3. PMID: 33784434.</w:t>
      </w:r>
    </w:p>
    <w:p w14:paraId="67A045EA" w14:textId="4F183064" w:rsidR="00C82504" w:rsidRPr="00C82504" w:rsidRDefault="009F5B0E" w:rsidP="00C82504">
      <w:pPr>
        <w:tabs>
          <w:tab w:val="left" w:pos="384"/>
        </w:tabs>
        <w:ind w:right="117"/>
        <w:rPr>
          <w:rFonts w:ascii="Calibri" w:eastAsia="Calibri" w:hAnsi="Calibri" w:cs="Calibri"/>
          <w:sz w:val="18"/>
        </w:rPr>
      </w:pPr>
      <w:r>
        <w:rPr>
          <w:rFonts w:ascii="Calibri" w:eastAsia="Calibri" w:hAnsi="Calibri" w:cs="Calibri"/>
          <w:sz w:val="18"/>
        </w:rPr>
        <w:t>3</w:t>
      </w:r>
      <w:r w:rsidR="00C82504" w:rsidRPr="00C82504">
        <w:rPr>
          <w:rFonts w:ascii="Calibri" w:eastAsia="Calibri" w:hAnsi="Calibri" w:cs="Calibri"/>
          <w:sz w:val="18"/>
        </w:rPr>
        <w:t xml:space="preserve">. </w:t>
      </w:r>
      <w:r w:rsidR="00C82504" w:rsidRPr="00C82504">
        <w:rPr>
          <w:rFonts w:ascii="Calibri" w:eastAsia="Calibri" w:hAnsi="Calibri" w:cs="Calibri"/>
          <w:b/>
          <w:bCs/>
          <w:sz w:val="18"/>
        </w:rPr>
        <w:t>Obrova, K.</w:t>
      </w:r>
      <w:r w:rsidR="00C82504">
        <w:rPr>
          <w:rFonts w:ascii="Calibri" w:eastAsia="Calibri" w:hAnsi="Calibri" w:cs="Calibri"/>
          <w:b/>
          <w:bCs/>
          <w:sz w:val="18"/>
        </w:rPr>
        <w:t xml:space="preserve"> </w:t>
      </w:r>
      <w:r w:rsidR="00C82504" w:rsidRPr="00C82504">
        <w:rPr>
          <w:rFonts w:ascii="Calibri" w:eastAsia="Calibri" w:hAnsi="Calibri" w:cs="Calibri"/>
          <w:sz w:val="18"/>
        </w:rPr>
        <w:t>et al (2019). Transmission of the malaria parasite requires ferlin for gamete egress from the red blood cell. Cellular microbiology, 21(5), e12999.</w:t>
      </w:r>
    </w:p>
    <w:p w14:paraId="359828B4" w14:textId="01E657DA" w:rsidR="00C82504" w:rsidRDefault="009F5B0E" w:rsidP="00C82504">
      <w:pPr>
        <w:tabs>
          <w:tab w:val="left" w:pos="384"/>
        </w:tabs>
        <w:ind w:right="117"/>
        <w:rPr>
          <w:rFonts w:ascii="Calibri" w:eastAsia="Calibri" w:hAnsi="Calibri" w:cs="Calibri"/>
          <w:sz w:val="18"/>
        </w:rPr>
      </w:pPr>
      <w:r>
        <w:rPr>
          <w:rFonts w:ascii="Calibri" w:eastAsia="Calibri" w:hAnsi="Calibri" w:cs="Calibri"/>
          <w:sz w:val="18"/>
        </w:rPr>
        <w:t>4</w:t>
      </w:r>
      <w:r w:rsidR="00C82504" w:rsidRPr="00C82504">
        <w:rPr>
          <w:rFonts w:ascii="Calibri" w:eastAsia="Calibri" w:hAnsi="Calibri" w:cs="Calibri"/>
          <w:sz w:val="18"/>
        </w:rPr>
        <w:t xml:space="preserve">. Hentzschel, F., </w:t>
      </w:r>
      <w:r w:rsidR="00C82504" w:rsidRPr="00C82504">
        <w:rPr>
          <w:rFonts w:ascii="Calibri" w:eastAsia="Calibri" w:hAnsi="Calibri" w:cs="Calibri"/>
          <w:b/>
          <w:bCs/>
          <w:sz w:val="18"/>
        </w:rPr>
        <w:t>Obrova, K.,</w:t>
      </w:r>
      <w:r w:rsidR="00C82504" w:rsidRPr="00C82504">
        <w:rPr>
          <w:rFonts w:ascii="Calibri" w:eastAsia="Calibri" w:hAnsi="Calibri" w:cs="Calibri"/>
          <w:sz w:val="18"/>
        </w:rPr>
        <w:t xml:space="preserve"> &amp; Marti, M. (2020). No evidence for Ago2 translocation from the host erythrocyte into the Plasmodium parasite. Wellcome Open Research, 5(92), 92. </w:t>
      </w:r>
    </w:p>
    <w:p w14:paraId="4A1D03CB" w14:textId="0E5010C1" w:rsidR="00AE3E37" w:rsidRPr="00C82504" w:rsidRDefault="009F5B0E" w:rsidP="00C82504">
      <w:pPr>
        <w:tabs>
          <w:tab w:val="left" w:pos="384"/>
        </w:tabs>
        <w:ind w:right="117"/>
        <w:rPr>
          <w:lang w:val="en-GB"/>
        </w:rPr>
      </w:pPr>
      <w:r w:rsidRPr="005B5F1A">
        <w:rPr>
          <w:rFonts w:ascii="Calibri" w:eastAsia="Calibri" w:hAnsi="Calibri" w:cs="Calibri"/>
          <w:sz w:val="18"/>
          <w:lang w:val="en-GB"/>
        </w:rPr>
        <w:t>5</w:t>
      </w:r>
      <w:r w:rsidR="00C82504" w:rsidRPr="005B5F1A">
        <w:rPr>
          <w:rFonts w:ascii="Calibri" w:eastAsia="Calibri" w:hAnsi="Calibri" w:cs="Calibri"/>
          <w:sz w:val="18"/>
          <w:lang w:val="en-GB"/>
        </w:rPr>
        <w:t xml:space="preserve">. Schneeweiss-Gleixner..., </w:t>
      </w:r>
      <w:r w:rsidR="00C82504" w:rsidRPr="005B5F1A">
        <w:rPr>
          <w:rFonts w:ascii="Calibri" w:eastAsia="Calibri" w:hAnsi="Calibri" w:cs="Calibri"/>
          <w:b/>
          <w:bCs/>
          <w:sz w:val="18"/>
          <w:lang w:val="en-GB"/>
        </w:rPr>
        <w:t>Obrova, K.</w:t>
      </w:r>
      <w:r w:rsidR="00C82504" w:rsidRPr="005B5F1A">
        <w:rPr>
          <w:rFonts w:ascii="Calibri" w:eastAsia="Calibri" w:hAnsi="Calibri" w:cs="Calibri"/>
          <w:sz w:val="18"/>
          <w:lang w:val="en-GB"/>
        </w:rPr>
        <w:t xml:space="preserve">, ..., Lion, T., ... &amp; Gleixner, K.V. (2019). </w:t>
      </w:r>
      <w:r w:rsidR="00C82504" w:rsidRPr="00C82504">
        <w:rPr>
          <w:rFonts w:ascii="Calibri" w:eastAsia="Calibri" w:hAnsi="Calibri" w:cs="Calibri"/>
          <w:sz w:val="18"/>
        </w:rPr>
        <w:t>CDK4/CDK6 inhibition as a novel strategy to suppress the growth and</w:t>
      </w:r>
      <w:r w:rsidR="000C0C49">
        <w:rPr>
          <w:rFonts w:ascii="Calibri" w:eastAsia="Calibri" w:hAnsi="Calibri" w:cs="Calibri"/>
          <w:sz w:val="18"/>
        </w:rPr>
        <w:t xml:space="preserve"> </w:t>
      </w:r>
      <w:r w:rsidR="000C0C49" w:rsidRPr="000C0C49">
        <w:rPr>
          <w:rFonts w:ascii="Calibri" w:eastAsia="Calibri" w:hAnsi="Calibri" w:cs="Calibri"/>
          <w:sz w:val="18"/>
        </w:rPr>
        <w:t>survival of BCR-ABL1T315I+ clones in TKI-resistant CML. EBioMedicine, 50, 111-121.</w:t>
      </w:r>
    </w:p>
    <w:p w14:paraId="56276700"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0A74630" w14:textId="6707CF52" w:rsidR="00AE3E37" w:rsidRDefault="00E21702">
      <w:pPr>
        <w:pStyle w:val="BodyText"/>
        <w:rPr>
          <w:rFonts w:ascii="Calibri"/>
          <w:sz w:val="20"/>
        </w:rPr>
      </w:pPr>
      <w:r w:rsidRPr="00E21702">
        <w:rPr>
          <w:noProof/>
        </w:rPr>
        <w:lastRenderedPageBreak/>
        <w:drawing>
          <wp:anchor distT="0" distB="0" distL="114300" distR="114300" simplePos="0" relativeHeight="251660288" behindDoc="0" locked="0" layoutInCell="1" allowOverlap="1" wp14:anchorId="25955C34" wp14:editId="4D6C569C">
            <wp:simplePos x="0" y="0"/>
            <wp:positionH relativeFrom="column">
              <wp:posOffset>82550</wp:posOffset>
            </wp:positionH>
            <wp:positionV relativeFrom="paragraph">
              <wp:posOffset>57150</wp:posOffset>
            </wp:positionV>
            <wp:extent cx="899795" cy="1079500"/>
            <wp:effectExtent l="133350" t="57150" r="71755" b="139700"/>
            <wp:wrapSquare wrapText="bothSides"/>
            <wp:docPr id="36" name="Picture 8" descr="Klara Obrova, P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8" descr="Klara Obrova, Ph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350" t="4945" r="21131" b="30906"/>
                    <a:stretch/>
                  </pic:blipFill>
                  <pic:spPr bwMode="auto">
                    <a:xfrm>
                      <a:off x="0" y="0"/>
                      <a:ext cx="899795" cy="10795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909E8E84-426E-40DD-AFC4-6F175D3DCCD1}">
                        <a14:hiddenFill xmlns:a14="http://schemas.microsoft.com/office/drawing/2010/main">
                          <a:solidFill>
                            <a:srgbClr val="FFFFFF"/>
                          </a:solidFill>
                        </a14:hiddenFill>
                      </a:ext>
                    </a:extLst>
                  </pic:spPr>
                </pic:pic>
              </a:graphicData>
            </a:graphic>
          </wp:anchor>
        </w:drawing>
      </w:r>
    </w:p>
    <w:p w14:paraId="6C3C7B72" w14:textId="5BF02071"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7989E08" wp14:editId="34F383A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83F42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758C6B6" w14:textId="1DD8FFDF" w:rsidR="00AE3E37" w:rsidRDefault="00E21702" w:rsidP="00E21702">
      <w:pPr>
        <w:spacing w:before="92"/>
        <w:ind w:right="4234"/>
        <w:rPr>
          <w:rFonts w:ascii="Arial"/>
        </w:rPr>
      </w:pPr>
      <w:r w:rsidRPr="00E21702">
        <w:rPr>
          <w:rFonts w:ascii="Times New Roman" w:hAnsi="Times New Roman" w:cs="Times New Roman"/>
          <w:noProof/>
          <w:sz w:val="24"/>
          <w:szCs w:val="24"/>
        </w:rPr>
        <w:drawing>
          <wp:anchor distT="0" distB="0" distL="114300" distR="114300" simplePos="0" relativeHeight="251659264" behindDoc="0" locked="0" layoutInCell="1" allowOverlap="1" wp14:anchorId="30252AEC" wp14:editId="70AD0B60">
            <wp:simplePos x="0" y="0"/>
            <wp:positionH relativeFrom="page">
              <wp:posOffset>4943475</wp:posOffset>
            </wp:positionH>
            <wp:positionV relativeFrom="paragraph">
              <wp:posOffset>65405</wp:posOffset>
            </wp:positionV>
            <wp:extent cx="2172335" cy="659765"/>
            <wp:effectExtent l="0" t="0" r="0" b="6985"/>
            <wp:wrapSquare wrapText="bothSides"/>
            <wp:docPr id="4" name="Picture 4" descr="Výsledek obrázku pro st anna kinderkrebsforschung png">
              <a:extLst xmlns:a="http://schemas.openxmlformats.org/drawingml/2006/main">
                <a:ext uri="{FF2B5EF4-FFF2-40B4-BE49-F238E27FC236}">
                  <a16:creationId xmlns:a16="http://schemas.microsoft.com/office/drawing/2014/main" id="{23FE313E-495D-4DE3-8BAD-6C63E9D657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Výsledek obrázku pro st anna kinderkrebsforschung png">
                      <a:extLst>
                        <a:ext uri="{FF2B5EF4-FFF2-40B4-BE49-F238E27FC236}">
                          <a16:creationId xmlns:a16="http://schemas.microsoft.com/office/drawing/2014/main" id="{23FE313E-495D-4DE3-8BAD-6C63E9D657D8}"/>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2335" cy="659765"/>
                    </a:xfrm>
                    <a:prstGeom prst="rect">
                      <a:avLst/>
                    </a:prstGeom>
                    <a:noFill/>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53CC2F86" w14:textId="3A235ADE" w:rsidR="00AE3E37" w:rsidRDefault="008A261C">
      <w:pPr>
        <w:spacing w:before="41" w:line="154" w:lineRule="exact"/>
        <w:ind w:left="213" w:right="231"/>
        <w:jc w:val="both"/>
        <w:rPr>
          <w:rFonts w:ascii="Arial"/>
          <w:sz w:val="14"/>
        </w:rPr>
      </w:pPr>
      <w:r>
        <w:rPr>
          <w:rFonts w:ascii="Arial"/>
          <w:sz w:val="14"/>
        </w:rPr>
        <w:t>Klara Obrova</w:t>
      </w:r>
      <w:r w:rsidR="00A9710C">
        <w:rPr>
          <w:rFonts w:ascii="Arial"/>
          <w:sz w:val="14"/>
        </w:rPr>
        <w:t xml:space="preserve"> has expertise in </w:t>
      </w:r>
      <w:r>
        <w:rPr>
          <w:rFonts w:ascii="Arial"/>
          <w:sz w:val="14"/>
        </w:rPr>
        <w:t>infectious biology with the focus on virology</w:t>
      </w:r>
      <w:r w:rsidR="00A9710C">
        <w:rPr>
          <w:rFonts w:ascii="Arial"/>
          <w:sz w:val="14"/>
        </w:rPr>
        <w:t xml:space="preserve">. </w:t>
      </w:r>
      <w:r w:rsidR="009901E4">
        <w:rPr>
          <w:rFonts w:ascii="Arial"/>
          <w:sz w:val="14"/>
        </w:rPr>
        <w:t xml:space="preserve">She performed her undergrad studies in Molecular biology and Virology at Charles University, Prague, Czechia. Her PhD studies took place at </w:t>
      </w:r>
      <w:r w:rsidR="005B5F1A">
        <w:rPr>
          <w:rFonts w:ascii="Arial"/>
          <w:sz w:val="14"/>
        </w:rPr>
        <w:t xml:space="preserve">the </w:t>
      </w:r>
      <w:r w:rsidR="009901E4">
        <w:rPr>
          <w:rFonts w:ascii="Arial"/>
          <w:sz w:val="14"/>
        </w:rPr>
        <w:t>Center for Infectious Diseases, Heidelberg, Germany. She has</w:t>
      </w:r>
      <w:r w:rsidR="005B5F1A">
        <w:rPr>
          <w:rFonts w:ascii="Arial"/>
          <w:sz w:val="14"/>
        </w:rPr>
        <w:t xml:space="preserve"> been</w:t>
      </w:r>
      <w:r w:rsidR="009901E4">
        <w:rPr>
          <w:rFonts w:ascii="Arial"/>
          <w:sz w:val="14"/>
        </w:rPr>
        <w:t xml:space="preserve"> </w:t>
      </w:r>
      <w:r w:rsidR="005B5F1A">
        <w:rPr>
          <w:rFonts w:ascii="Arial"/>
          <w:sz w:val="14"/>
        </w:rPr>
        <w:t xml:space="preserve">working </w:t>
      </w:r>
      <w:r w:rsidR="009901E4">
        <w:rPr>
          <w:rFonts w:ascii="Arial"/>
          <w:sz w:val="14"/>
        </w:rPr>
        <w:t xml:space="preserve">as a postdoc at CCRI Vienna since 2019. She currently works on a collaborative project between </w:t>
      </w:r>
      <w:r w:rsidR="005B5F1A">
        <w:rPr>
          <w:rFonts w:ascii="Arial"/>
          <w:sz w:val="14"/>
        </w:rPr>
        <w:t xml:space="preserve">the </w:t>
      </w:r>
      <w:r w:rsidR="009901E4">
        <w:rPr>
          <w:rFonts w:ascii="Arial"/>
          <w:sz w:val="14"/>
        </w:rPr>
        <w:t xml:space="preserve">CCRI Vienna and </w:t>
      </w:r>
      <w:r w:rsidR="005B5F1A">
        <w:rPr>
          <w:rFonts w:ascii="Arial"/>
          <w:sz w:val="14"/>
        </w:rPr>
        <w:t xml:space="preserve">the </w:t>
      </w:r>
      <w:r w:rsidR="009901E4">
        <w:rPr>
          <w:rFonts w:ascii="Arial"/>
          <w:sz w:val="14"/>
        </w:rPr>
        <w:t>UCT Prague that aims at establishing non-thermal plasma, a novel decontamination technology, as a potent tool to fight epidemic spread of viral pathogens.</w:t>
      </w:r>
    </w:p>
    <w:p w14:paraId="5B4807BD" w14:textId="61DA559F" w:rsidR="00AE3E37" w:rsidRDefault="00A9710C">
      <w:pPr>
        <w:spacing w:before="62"/>
        <w:ind w:left="4217" w:right="4235"/>
        <w:jc w:val="center"/>
        <w:rPr>
          <w:rFonts w:ascii="Arial"/>
          <w:sz w:val="14"/>
        </w:rPr>
      </w:pPr>
      <w:r>
        <w:rPr>
          <w:rFonts w:ascii="Arial"/>
          <w:sz w:val="14"/>
        </w:rPr>
        <w:t xml:space="preserve">Email: </w:t>
      </w:r>
      <w:hyperlink r:id="rId11" w:history="1">
        <w:r w:rsidR="00D61980" w:rsidRPr="00436067">
          <w:rPr>
            <w:rStyle w:val="Hyperlink"/>
            <w:rFonts w:ascii="Arial"/>
            <w:sz w:val="14"/>
          </w:rPr>
          <w:t>klara.obrova@ccri.at</w:t>
        </w:r>
      </w:hyperlink>
    </w:p>
    <w:p w14:paraId="755DB240"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8BB5C35" wp14:editId="66CD127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19D4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68C443A" w14:textId="77777777" w:rsidR="00AE3E37" w:rsidRDefault="00AE3E37">
      <w:pPr>
        <w:pStyle w:val="BodyText"/>
        <w:rPr>
          <w:rFonts w:ascii="Arial"/>
          <w:sz w:val="20"/>
        </w:rPr>
      </w:pPr>
    </w:p>
    <w:p w14:paraId="6E222C06" w14:textId="77777777" w:rsidR="00AE3E37" w:rsidRDefault="00AE3E37">
      <w:pPr>
        <w:pStyle w:val="BodyText"/>
        <w:rPr>
          <w:rFonts w:ascii="Arial"/>
          <w:sz w:val="20"/>
        </w:rPr>
      </w:pPr>
    </w:p>
    <w:p w14:paraId="51723CB7" w14:textId="77777777" w:rsidR="00EA7D51" w:rsidRDefault="00EA7D51" w:rsidP="000534A1">
      <w:pPr>
        <w:spacing w:before="39"/>
        <w:ind w:left="100"/>
        <w:rPr>
          <w:rFonts w:ascii="Minion Pro"/>
          <w:b/>
          <w:sz w:val="20"/>
        </w:rPr>
      </w:pPr>
    </w:p>
    <w:p w14:paraId="269012B2" w14:textId="123D9B63"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61980">
        <w:rPr>
          <w:sz w:val="20"/>
          <w:szCs w:val="20"/>
          <w:lang w:val="en-NZ"/>
        </w:rPr>
        <w:t>Klara Obrova</w:t>
      </w:r>
      <w:r w:rsidRPr="00F35A62">
        <w:rPr>
          <w:sz w:val="20"/>
          <w:szCs w:val="20"/>
          <w:lang w:val="en-NZ"/>
        </w:rPr>
        <w:br/>
        <w:t>Contact number:</w:t>
      </w:r>
      <w:r w:rsidR="00D61980">
        <w:rPr>
          <w:sz w:val="20"/>
          <w:szCs w:val="20"/>
          <w:lang w:val="en-NZ"/>
        </w:rPr>
        <w:t xml:space="preserve"> +43 670 208 6363</w:t>
      </w:r>
      <w:r w:rsidRPr="00F35A62">
        <w:rPr>
          <w:sz w:val="20"/>
          <w:szCs w:val="20"/>
          <w:lang w:val="en-NZ"/>
        </w:rPr>
        <w:br/>
        <w:t>Twitter account:</w:t>
      </w:r>
      <w:r w:rsidR="00D61980">
        <w:rPr>
          <w:sz w:val="20"/>
          <w:szCs w:val="20"/>
          <w:lang w:val="en-NZ"/>
        </w:rPr>
        <w:t xml:space="preserve"> </w:t>
      </w:r>
      <w:r w:rsidR="00D61980" w:rsidRPr="00D61980">
        <w:rPr>
          <w:sz w:val="20"/>
          <w:szCs w:val="20"/>
        </w:rPr>
        <w:t>@KlaraVochyan</w:t>
      </w:r>
      <w:r w:rsidRPr="00F35A62">
        <w:rPr>
          <w:sz w:val="20"/>
          <w:szCs w:val="20"/>
          <w:lang w:val="en-NZ"/>
        </w:rPr>
        <w:br/>
        <w:t>Linked In account:</w:t>
      </w:r>
      <w:r w:rsidR="00D61980">
        <w:rPr>
          <w:sz w:val="20"/>
          <w:szCs w:val="20"/>
          <w:lang w:val="en-NZ"/>
        </w:rPr>
        <w:t xml:space="preserve"> </w:t>
      </w:r>
      <w:r w:rsidR="00BB3ABA" w:rsidRPr="00BB3ABA">
        <w:rPr>
          <w:sz w:val="20"/>
          <w:szCs w:val="20"/>
          <w:lang w:val="en-NZ"/>
        </w:rPr>
        <w:t>https://www.linkedin.com/in/klara-obrova-5486a4173/</w:t>
      </w:r>
    </w:p>
    <w:p w14:paraId="002A04D2" w14:textId="607ED48B"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sectPr w:rsidR="00EA7D51" w:rsidRPr="00F35A62"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4530B" w14:textId="77777777" w:rsidR="00875E5D" w:rsidRDefault="00875E5D">
      <w:r>
        <w:separator/>
      </w:r>
    </w:p>
  </w:endnote>
  <w:endnote w:type="continuationSeparator" w:id="0">
    <w:p w14:paraId="6E9ECBF7" w14:textId="77777777" w:rsidR="00875E5D" w:rsidRDefault="00875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393B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F31125C" wp14:editId="789A4EF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8B4B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CA641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1125C"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9C8B4B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CA641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2D4BAD0" wp14:editId="460FB04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338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C325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4BAD0"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AF338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C325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2EA7127" wp14:editId="5703CB7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D103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12E08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A7127"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76D103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12E08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27877" w14:textId="77777777" w:rsidR="00875E5D" w:rsidRDefault="00875E5D">
      <w:r>
        <w:separator/>
      </w:r>
    </w:p>
  </w:footnote>
  <w:footnote w:type="continuationSeparator" w:id="0">
    <w:p w14:paraId="645CB1EE" w14:textId="77777777" w:rsidR="00875E5D" w:rsidRDefault="00875E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91526"/>
    <w:rsid w:val="00092050"/>
    <w:rsid w:val="000A5651"/>
    <w:rsid w:val="000B4CAA"/>
    <w:rsid w:val="000C0C49"/>
    <w:rsid w:val="000E2911"/>
    <w:rsid w:val="000E549F"/>
    <w:rsid w:val="000F28F4"/>
    <w:rsid w:val="001263DF"/>
    <w:rsid w:val="00145881"/>
    <w:rsid w:val="001B30D4"/>
    <w:rsid w:val="001E31F9"/>
    <w:rsid w:val="00204E07"/>
    <w:rsid w:val="00292ED9"/>
    <w:rsid w:val="00351D9B"/>
    <w:rsid w:val="00380299"/>
    <w:rsid w:val="00404E5B"/>
    <w:rsid w:val="00414F7B"/>
    <w:rsid w:val="004355DC"/>
    <w:rsid w:val="004749B4"/>
    <w:rsid w:val="00475D20"/>
    <w:rsid w:val="00494130"/>
    <w:rsid w:val="004D18DD"/>
    <w:rsid w:val="004E45B0"/>
    <w:rsid w:val="004F3523"/>
    <w:rsid w:val="00523B6C"/>
    <w:rsid w:val="00556400"/>
    <w:rsid w:val="00590D60"/>
    <w:rsid w:val="005973B9"/>
    <w:rsid w:val="005B3A56"/>
    <w:rsid w:val="005B5F1A"/>
    <w:rsid w:val="006060CE"/>
    <w:rsid w:val="0061505C"/>
    <w:rsid w:val="0063497F"/>
    <w:rsid w:val="00714354"/>
    <w:rsid w:val="00844B47"/>
    <w:rsid w:val="00873DF0"/>
    <w:rsid w:val="008756E6"/>
    <w:rsid w:val="00875E5D"/>
    <w:rsid w:val="00897EC5"/>
    <w:rsid w:val="008A0763"/>
    <w:rsid w:val="008A261C"/>
    <w:rsid w:val="008E5477"/>
    <w:rsid w:val="009901E4"/>
    <w:rsid w:val="009B2D44"/>
    <w:rsid w:val="009D0299"/>
    <w:rsid w:val="009F5B0E"/>
    <w:rsid w:val="00A07E82"/>
    <w:rsid w:val="00A52075"/>
    <w:rsid w:val="00A9710C"/>
    <w:rsid w:val="00AE3E37"/>
    <w:rsid w:val="00B21A57"/>
    <w:rsid w:val="00B84EBF"/>
    <w:rsid w:val="00BB3ABA"/>
    <w:rsid w:val="00BE6743"/>
    <w:rsid w:val="00C22EF4"/>
    <w:rsid w:val="00C33602"/>
    <w:rsid w:val="00C56C74"/>
    <w:rsid w:val="00C82504"/>
    <w:rsid w:val="00CA203F"/>
    <w:rsid w:val="00CD6F55"/>
    <w:rsid w:val="00D61980"/>
    <w:rsid w:val="00DD1AD9"/>
    <w:rsid w:val="00DE3104"/>
    <w:rsid w:val="00DE6170"/>
    <w:rsid w:val="00E21702"/>
    <w:rsid w:val="00E30AAC"/>
    <w:rsid w:val="00E95D97"/>
    <w:rsid w:val="00EA7D51"/>
    <w:rsid w:val="00EE62A3"/>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DC8A5"/>
  <w15:docId w15:val="{D6FC463E-E480-4A99-B84F-18C852274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uiPriority w:val="10"/>
    <w:qFormat/>
    <w:rsid w:val="00EE62A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2A3"/>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1B30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158907">
      <w:bodyDiv w:val="1"/>
      <w:marLeft w:val="0"/>
      <w:marRight w:val="0"/>
      <w:marTop w:val="0"/>
      <w:marBottom w:val="0"/>
      <w:divBdr>
        <w:top w:val="none" w:sz="0" w:space="0" w:color="auto"/>
        <w:left w:val="none" w:sz="0" w:space="0" w:color="auto"/>
        <w:bottom w:val="none" w:sz="0" w:space="0" w:color="auto"/>
        <w:right w:val="none" w:sz="0" w:space="0" w:color="auto"/>
      </w:divBdr>
      <w:divsChild>
        <w:div w:id="1871844559">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lara.obrova@ccri.at"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Klara Obrova</cp:lastModifiedBy>
  <cp:revision>24</cp:revision>
  <dcterms:created xsi:type="dcterms:W3CDTF">2022-01-10T18:39:00Z</dcterms:created>
  <dcterms:modified xsi:type="dcterms:W3CDTF">2022-01-11T09:54:00Z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