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825F4" w14:textId="610AFBCC" w:rsidR="00B955B4" w:rsidRPr="009A6BC0" w:rsidRDefault="00B955B4">
      <w:pPr>
        <w:rPr>
          <w:sz w:val="28"/>
          <w:szCs w:val="28"/>
        </w:rPr>
      </w:pPr>
      <w:r w:rsidRPr="009A6BC0">
        <w:rPr>
          <w:sz w:val="28"/>
          <w:szCs w:val="28"/>
        </w:rPr>
        <w:t>Abstract</w:t>
      </w:r>
    </w:p>
    <w:p w14:paraId="6F38C80A" w14:textId="50526070" w:rsidR="00B955B4" w:rsidRDefault="009A6BC0" w:rsidP="00B955B4">
      <w:pPr>
        <w:rPr>
          <w:rFonts w:cstheme="minorHAnsi"/>
          <w:sz w:val="28"/>
          <w:szCs w:val="28"/>
        </w:rPr>
      </w:pPr>
      <w:r w:rsidRPr="00BD7BAA">
        <w:rPr>
          <w:sz w:val="32"/>
          <w:szCs w:val="32"/>
        </w:rPr>
        <w:t xml:space="preserve">Taffix® </w:t>
      </w:r>
      <w:r w:rsidR="00BD7BAA">
        <w:rPr>
          <w:sz w:val="32"/>
          <w:szCs w:val="32"/>
        </w:rPr>
        <w:t>-</w:t>
      </w:r>
      <w:r w:rsidR="00B955B4" w:rsidRPr="00BD7BAA">
        <w:rPr>
          <w:sz w:val="32"/>
          <w:szCs w:val="32"/>
        </w:rPr>
        <w:t xml:space="preserve"> </w:t>
      </w:r>
      <w:r w:rsidR="00B955B4" w:rsidRPr="00C71894">
        <w:rPr>
          <w:rStyle w:val="Heading1Char"/>
          <w:rFonts w:asciiTheme="minorHAnsi" w:hAnsiTheme="minorHAnsi" w:cstheme="minorHAnsi"/>
          <w:sz w:val="28"/>
          <w:szCs w:val="28"/>
        </w:rPr>
        <w:t xml:space="preserve">An innovative technology for reducing viral infection </w:t>
      </w:r>
      <w:r w:rsidR="00B955B4">
        <w:rPr>
          <w:rStyle w:val="Heading1Char"/>
          <w:rFonts w:asciiTheme="minorHAnsi" w:hAnsiTheme="minorHAnsi" w:cstheme="minorHAnsi"/>
          <w:sz w:val="28"/>
          <w:szCs w:val="28"/>
        </w:rPr>
        <w:t xml:space="preserve">through </w:t>
      </w:r>
      <w:r w:rsidR="00B955B4" w:rsidRPr="00C71894">
        <w:rPr>
          <w:rStyle w:val="Heading1Char"/>
          <w:rFonts w:asciiTheme="minorHAnsi" w:hAnsiTheme="minorHAnsi" w:cstheme="minorHAnsi"/>
          <w:sz w:val="28"/>
          <w:szCs w:val="28"/>
        </w:rPr>
        <w:t>nasal mucosa</w:t>
      </w:r>
      <w:r w:rsidR="00B955B4" w:rsidRPr="00C71894">
        <w:rPr>
          <w:rFonts w:cstheme="minorHAnsi"/>
          <w:sz w:val="28"/>
          <w:szCs w:val="28"/>
        </w:rPr>
        <w:t>.</w:t>
      </w:r>
    </w:p>
    <w:p w14:paraId="3802C422" w14:textId="39ED0D8E" w:rsidR="00333BF1" w:rsidRDefault="00333BF1" w:rsidP="0062612A">
      <w:r>
        <w:t xml:space="preserve"> </w:t>
      </w:r>
    </w:p>
    <w:p w14:paraId="34AE602A" w14:textId="041D99C5" w:rsidR="00B955B4" w:rsidRPr="00FB6EBC" w:rsidRDefault="00B955B4">
      <w:pPr>
        <w:rPr>
          <w:rFonts w:cstheme="minorHAnsi"/>
          <w:sz w:val="24"/>
          <w:szCs w:val="24"/>
        </w:rPr>
      </w:pPr>
      <w:r w:rsidRPr="00FB6EBC">
        <w:rPr>
          <w:rFonts w:cstheme="minorHAnsi"/>
          <w:sz w:val="24"/>
          <w:szCs w:val="24"/>
        </w:rPr>
        <w:t xml:space="preserve">Nasus Pharma developed </w:t>
      </w:r>
      <w:r w:rsidR="00FB6EBC" w:rsidRPr="00FB6EBC">
        <w:rPr>
          <w:rFonts w:cstheme="minorHAnsi"/>
          <w:color w:val="000000"/>
        </w:rPr>
        <w:t>Taffix</w:t>
      </w:r>
      <w:proofErr w:type="gramStart"/>
      <w:r w:rsidR="00FB6EBC" w:rsidRPr="00FB6EBC">
        <w:rPr>
          <w:rFonts w:cstheme="minorHAnsi"/>
          <w:color w:val="000000"/>
        </w:rPr>
        <w:t xml:space="preserve">® </w:t>
      </w:r>
      <w:r w:rsidRPr="00FB6EBC">
        <w:rPr>
          <w:rFonts w:cstheme="minorHAnsi"/>
          <w:sz w:val="24"/>
          <w:szCs w:val="24"/>
        </w:rPr>
        <w:t xml:space="preserve"> -</w:t>
      </w:r>
      <w:proofErr w:type="gramEnd"/>
      <w:r w:rsidRPr="00FB6EBC">
        <w:rPr>
          <w:rFonts w:cstheme="minorHAnsi"/>
          <w:sz w:val="24"/>
          <w:szCs w:val="24"/>
        </w:rPr>
        <w:t xml:space="preserve"> an innovative nasal powder </w:t>
      </w:r>
      <w:r w:rsidR="00FB6EBC" w:rsidRPr="00FB6EBC">
        <w:rPr>
          <w:rFonts w:cstheme="minorHAnsi"/>
          <w:sz w:val="24"/>
          <w:szCs w:val="24"/>
        </w:rPr>
        <w:t xml:space="preserve">personal </w:t>
      </w:r>
      <w:r w:rsidR="00333BF1" w:rsidRPr="00FB6EBC">
        <w:rPr>
          <w:rFonts w:cstheme="minorHAnsi"/>
          <w:sz w:val="24"/>
          <w:szCs w:val="24"/>
        </w:rPr>
        <w:t>spray comprised of low-pH Hypromellose which forms a protective mechanical barrier that prevents viruses from engaging with nasal cells and deactivate</w:t>
      </w:r>
      <w:r w:rsidR="008C1A53">
        <w:rPr>
          <w:rFonts w:cstheme="minorHAnsi"/>
          <w:sz w:val="24"/>
          <w:szCs w:val="24"/>
        </w:rPr>
        <w:t>s</w:t>
      </w:r>
      <w:r w:rsidR="00333BF1" w:rsidRPr="00FB6EBC">
        <w:rPr>
          <w:rFonts w:cstheme="minorHAnsi"/>
          <w:sz w:val="24"/>
          <w:szCs w:val="24"/>
        </w:rPr>
        <w:t xml:space="preserve"> viruses.</w:t>
      </w:r>
      <w:r w:rsidRPr="00FB6EBC">
        <w:rPr>
          <w:rFonts w:cstheme="minorHAnsi"/>
          <w:sz w:val="24"/>
          <w:szCs w:val="24"/>
        </w:rPr>
        <w:t xml:space="preserve"> </w:t>
      </w:r>
      <w:r w:rsidR="00FB6EBC" w:rsidRPr="00FB6EBC">
        <w:rPr>
          <w:rFonts w:cstheme="minorHAnsi"/>
          <w:color w:val="000000"/>
        </w:rPr>
        <w:t>Taffix</w:t>
      </w:r>
      <w:proofErr w:type="gramStart"/>
      <w:r w:rsidR="00FB6EBC" w:rsidRPr="00FB6EBC">
        <w:rPr>
          <w:rFonts w:cstheme="minorHAnsi"/>
          <w:color w:val="000000"/>
        </w:rPr>
        <w:t xml:space="preserve">® </w:t>
      </w:r>
      <w:r w:rsidRPr="00FB6EBC">
        <w:rPr>
          <w:rFonts w:cstheme="minorHAnsi"/>
          <w:sz w:val="24"/>
          <w:szCs w:val="24"/>
        </w:rPr>
        <w:t xml:space="preserve"> was</w:t>
      </w:r>
      <w:proofErr w:type="gramEnd"/>
      <w:r w:rsidRPr="00FB6EBC">
        <w:rPr>
          <w:rFonts w:cstheme="minorHAnsi"/>
          <w:sz w:val="24"/>
          <w:szCs w:val="24"/>
        </w:rPr>
        <w:t xml:space="preserve"> found to be a significant protective tool for </w:t>
      </w:r>
      <w:r w:rsidRPr="009A6BC0">
        <w:rPr>
          <w:rFonts w:cstheme="minorHAnsi"/>
          <w:sz w:val="24"/>
          <w:szCs w:val="24"/>
        </w:rPr>
        <w:t xml:space="preserve">preventing </w:t>
      </w:r>
      <w:r w:rsidR="009A6BC0" w:rsidRPr="009A6BC0">
        <w:rPr>
          <w:rFonts w:cstheme="minorHAnsi"/>
          <w:sz w:val="24"/>
          <w:szCs w:val="24"/>
        </w:rPr>
        <w:t xml:space="preserve">airborne </w:t>
      </w:r>
      <w:r w:rsidRPr="009A6BC0">
        <w:rPr>
          <w:rFonts w:cstheme="minorHAnsi"/>
          <w:sz w:val="24"/>
          <w:szCs w:val="24"/>
        </w:rPr>
        <w:t xml:space="preserve">viral infections, including by </w:t>
      </w:r>
      <w:r w:rsidR="00333BF1" w:rsidRPr="009A6BC0">
        <w:rPr>
          <w:rFonts w:cstheme="minorHAnsi"/>
          <w:sz w:val="24"/>
          <w:szCs w:val="24"/>
        </w:rPr>
        <w:t>SARS-CoV-2</w:t>
      </w:r>
      <w:r w:rsidRPr="009A6BC0">
        <w:rPr>
          <w:rFonts w:cstheme="minorHAnsi"/>
          <w:sz w:val="24"/>
          <w:szCs w:val="24"/>
        </w:rPr>
        <w:t xml:space="preserve"> in addition to the multiple</w:t>
      </w:r>
      <w:r w:rsidRPr="00FB6EBC">
        <w:rPr>
          <w:rFonts w:cstheme="minorHAnsi"/>
          <w:sz w:val="24"/>
          <w:szCs w:val="24"/>
        </w:rPr>
        <w:t xml:space="preserve"> preventive measures taken today.</w:t>
      </w:r>
      <w:r w:rsidR="008C1A53">
        <w:rPr>
          <w:rFonts w:cstheme="minorHAnsi"/>
          <w:sz w:val="24"/>
          <w:szCs w:val="24"/>
        </w:rPr>
        <w:t xml:space="preserve"> Taffix is safe and biocompatible</w:t>
      </w:r>
      <w:r w:rsidR="005E5BF5">
        <w:rPr>
          <w:rFonts w:cstheme="minorHAnsi"/>
          <w:sz w:val="24"/>
          <w:szCs w:val="24"/>
        </w:rPr>
        <w:t>.</w:t>
      </w:r>
    </w:p>
    <w:p w14:paraId="4446E722" w14:textId="03C6F2B1" w:rsidR="0012143B" w:rsidRPr="00FB6EBC" w:rsidRDefault="00B955B4" w:rsidP="00FD45E1">
      <w:pPr>
        <w:pStyle w:val="Default"/>
        <w:rPr>
          <w:rFonts w:asciiTheme="minorHAnsi" w:hAnsiTheme="minorHAnsi" w:cstheme="minorHAnsi"/>
        </w:rPr>
      </w:pPr>
      <w:r w:rsidRPr="00FB6EBC">
        <w:rPr>
          <w:rFonts w:asciiTheme="minorHAnsi" w:hAnsiTheme="minorHAnsi" w:cstheme="minorHAnsi"/>
        </w:rPr>
        <w:t xml:space="preserve">Nasus has tested its products in several in vitro </w:t>
      </w:r>
      <w:r w:rsidR="008C1A53">
        <w:rPr>
          <w:rFonts w:asciiTheme="minorHAnsi" w:hAnsiTheme="minorHAnsi" w:cstheme="minorHAnsi"/>
        </w:rPr>
        <w:t xml:space="preserve">efficacy </w:t>
      </w:r>
      <w:r w:rsidRPr="00FB6EBC">
        <w:rPr>
          <w:rFonts w:asciiTheme="minorHAnsi" w:hAnsiTheme="minorHAnsi" w:cstheme="minorHAnsi"/>
        </w:rPr>
        <w:t xml:space="preserve">studies </w:t>
      </w:r>
      <w:r w:rsidR="009A6BC0">
        <w:rPr>
          <w:rFonts w:asciiTheme="minorHAnsi" w:hAnsiTheme="minorHAnsi" w:cstheme="minorHAnsi"/>
        </w:rPr>
        <w:t>with</w:t>
      </w:r>
      <w:r w:rsidRPr="00FB6EBC">
        <w:rPr>
          <w:rFonts w:asciiTheme="minorHAnsi" w:hAnsiTheme="minorHAnsi" w:cstheme="minorHAnsi"/>
        </w:rPr>
        <w:t xml:space="preserve"> multiple </w:t>
      </w:r>
      <w:r w:rsidR="0012143B" w:rsidRPr="00FB6EBC">
        <w:rPr>
          <w:rFonts w:asciiTheme="minorHAnsi" w:hAnsiTheme="minorHAnsi" w:cstheme="minorHAnsi"/>
        </w:rPr>
        <w:t>virus</w:t>
      </w:r>
      <w:r w:rsidR="00FD45E1" w:rsidRPr="00FB6EBC">
        <w:rPr>
          <w:rFonts w:asciiTheme="minorHAnsi" w:hAnsiTheme="minorHAnsi" w:cstheme="minorHAnsi"/>
        </w:rPr>
        <w:t xml:space="preserve"> strains, including a few </w:t>
      </w:r>
      <w:r w:rsidRPr="00FB6EBC">
        <w:rPr>
          <w:rFonts w:asciiTheme="minorHAnsi" w:hAnsiTheme="minorHAnsi" w:cstheme="minorHAnsi"/>
        </w:rPr>
        <w:t xml:space="preserve">variants of SARS-CoV-2 </w:t>
      </w:r>
      <w:r w:rsidR="00FD45E1" w:rsidRPr="00FB6EBC">
        <w:rPr>
          <w:rFonts w:asciiTheme="minorHAnsi" w:hAnsiTheme="minorHAnsi" w:cstheme="minorHAnsi"/>
        </w:rPr>
        <w:t>(Hong Kong/VM20001061/2020; Alpha; Beta and Delta Israel isolate</w:t>
      </w:r>
      <w:r w:rsidR="008C1A53">
        <w:rPr>
          <w:rFonts w:asciiTheme="minorHAnsi" w:hAnsiTheme="minorHAnsi" w:cstheme="minorHAnsi"/>
        </w:rPr>
        <w:t>; lentivirus and influenza</w:t>
      </w:r>
      <w:r w:rsidR="00FD45E1" w:rsidRPr="00FB6EBC">
        <w:rPr>
          <w:rFonts w:asciiTheme="minorHAnsi" w:hAnsiTheme="minorHAnsi" w:cstheme="minorHAnsi"/>
        </w:rPr>
        <w:t xml:space="preserve">). </w:t>
      </w:r>
      <w:r w:rsidR="00FB6EBC" w:rsidRPr="00FB6EBC">
        <w:rPr>
          <w:rFonts w:asciiTheme="minorHAnsi" w:hAnsiTheme="minorHAnsi" w:cstheme="minorHAnsi"/>
        </w:rPr>
        <w:t>Taffix®</w:t>
      </w:r>
      <w:r w:rsidR="0012143B" w:rsidRPr="00FB6EBC">
        <w:rPr>
          <w:rFonts w:asciiTheme="minorHAnsi" w:hAnsiTheme="minorHAnsi" w:cstheme="minorHAnsi"/>
        </w:rPr>
        <w:t xml:space="preserve"> spray</w:t>
      </w:r>
      <w:r w:rsidR="0062612A" w:rsidRPr="00FB6EBC">
        <w:rPr>
          <w:rFonts w:asciiTheme="minorHAnsi" w:hAnsiTheme="minorHAnsi" w:cstheme="minorHAnsi"/>
        </w:rPr>
        <w:t xml:space="preserve"> blocked passage of all four tested SARS-CoV-2 variants, as demonstrated by a 99%-100% reduction of recoverable viral RNA from Vero-E6 cells</w:t>
      </w:r>
      <w:r w:rsidR="0012143B" w:rsidRPr="00FB6EBC">
        <w:rPr>
          <w:rFonts w:asciiTheme="minorHAnsi" w:hAnsiTheme="minorHAnsi" w:cstheme="minorHAnsi"/>
        </w:rPr>
        <w:t xml:space="preserve"> or by plaque assay</w:t>
      </w:r>
      <w:r w:rsidR="00651C2D">
        <w:rPr>
          <w:rFonts w:asciiTheme="minorHAnsi" w:hAnsiTheme="minorHAnsi" w:cstheme="minorHAnsi"/>
        </w:rPr>
        <w:t xml:space="preserve"> </w:t>
      </w:r>
      <w:r w:rsidR="00651C2D">
        <w:rPr>
          <w:rStyle w:val="FootnoteReference"/>
          <w:rFonts w:asciiTheme="minorHAnsi" w:hAnsiTheme="minorHAnsi" w:cstheme="minorHAnsi"/>
        </w:rPr>
        <w:footnoteReference w:id="1"/>
      </w:r>
      <w:r w:rsidR="00A63869">
        <w:rPr>
          <w:rFonts w:asciiTheme="minorHAnsi" w:hAnsiTheme="minorHAnsi" w:cstheme="minorHAnsi"/>
        </w:rPr>
        <w:t>,</w:t>
      </w:r>
      <w:r w:rsidR="00651C2D">
        <w:rPr>
          <w:rStyle w:val="FootnoteReference"/>
          <w:rFonts w:asciiTheme="minorHAnsi" w:hAnsiTheme="minorHAnsi" w:cstheme="minorHAnsi"/>
        </w:rPr>
        <w:footnoteReference w:id="2"/>
      </w:r>
      <w:r w:rsidR="0062612A" w:rsidRPr="00FB6EBC">
        <w:rPr>
          <w:rFonts w:asciiTheme="minorHAnsi" w:hAnsiTheme="minorHAnsi" w:cstheme="minorHAnsi"/>
        </w:rPr>
        <w:t xml:space="preserve"> </w:t>
      </w:r>
    </w:p>
    <w:p w14:paraId="3ECECC13" w14:textId="77777777" w:rsidR="0012143B" w:rsidRPr="00FB6EBC" w:rsidRDefault="0012143B" w:rsidP="00FD45E1">
      <w:pPr>
        <w:pStyle w:val="Default"/>
        <w:rPr>
          <w:rFonts w:asciiTheme="minorHAnsi" w:hAnsiTheme="minorHAnsi" w:cstheme="minorHAnsi"/>
        </w:rPr>
      </w:pPr>
    </w:p>
    <w:p w14:paraId="6D270F61" w14:textId="694A6B44" w:rsidR="00B955B4" w:rsidRPr="00FB6EBC" w:rsidRDefault="00FB6EBC" w:rsidP="00FD45E1">
      <w:pPr>
        <w:pStyle w:val="Default"/>
        <w:rPr>
          <w:rFonts w:asciiTheme="minorHAnsi" w:hAnsiTheme="minorHAnsi" w:cstheme="minorHAnsi"/>
        </w:rPr>
      </w:pPr>
      <w:r w:rsidRPr="00FB6EBC">
        <w:rPr>
          <w:rFonts w:asciiTheme="minorHAnsi" w:hAnsiTheme="minorHAnsi" w:cstheme="minorHAnsi"/>
        </w:rPr>
        <w:t>Taffix®</w:t>
      </w:r>
      <w:r w:rsidR="0062612A" w:rsidRPr="00FB6EBC">
        <w:rPr>
          <w:rFonts w:asciiTheme="minorHAnsi" w:hAnsiTheme="minorHAnsi" w:cstheme="minorHAnsi"/>
        </w:rPr>
        <w:t xml:space="preserve"> was tested </w:t>
      </w:r>
      <w:r w:rsidR="00B955B4" w:rsidRPr="00FB6EBC">
        <w:rPr>
          <w:rFonts w:asciiTheme="minorHAnsi" w:hAnsiTheme="minorHAnsi" w:cstheme="minorHAnsi"/>
        </w:rPr>
        <w:t xml:space="preserve">in </w:t>
      </w:r>
      <w:r w:rsidR="0062612A" w:rsidRPr="00FB6EBC">
        <w:rPr>
          <w:rFonts w:asciiTheme="minorHAnsi" w:hAnsiTheme="minorHAnsi" w:cstheme="minorHAnsi"/>
        </w:rPr>
        <w:t xml:space="preserve">human </w:t>
      </w:r>
      <w:r w:rsidR="00B955B4" w:rsidRPr="00FB6EBC">
        <w:rPr>
          <w:rFonts w:asciiTheme="minorHAnsi" w:hAnsiTheme="minorHAnsi" w:cstheme="minorHAnsi"/>
        </w:rPr>
        <w:t>real</w:t>
      </w:r>
      <w:r w:rsidR="00FD45E1" w:rsidRPr="00FB6EBC">
        <w:rPr>
          <w:rFonts w:asciiTheme="minorHAnsi" w:hAnsiTheme="minorHAnsi" w:cstheme="minorHAnsi"/>
        </w:rPr>
        <w:t>-</w:t>
      </w:r>
      <w:r w:rsidR="00B955B4" w:rsidRPr="00FB6EBC">
        <w:rPr>
          <w:rFonts w:asciiTheme="minorHAnsi" w:hAnsiTheme="minorHAnsi" w:cstheme="minorHAnsi"/>
        </w:rPr>
        <w:t>life</w:t>
      </w:r>
      <w:r w:rsidR="009A6BC0">
        <w:rPr>
          <w:rFonts w:asciiTheme="minorHAnsi" w:hAnsiTheme="minorHAnsi" w:cstheme="minorHAnsi"/>
        </w:rPr>
        <w:t>,</w:t>
      </w:r>
      <w:r w:rsidR="00B955B4" w:rsidRPr="00FB6EBC">
        <w:rPr>
          <w:rFonts w:asciiTheme="minorHAnsi" w:hAnsiTheme="minorHAnsi" w:cstheme="minorHAnsi"/>
        </w:rPr>
        <w:t xml:space="preserve"> high infection risk setting during the COVID</w:t>
      </w:r>
      <w:r w:rsidR="00FD45E1" w:rsidRPr="00FB6EBC">
        <w:rPr>
          <w:rFonts w:asciiTheme="minorHAnsi" w:hAnsiTheme="minorHAnsi" w:cstheme="minorHAnsi"/>
        </w:rPr>
        <w:t>-</w:t>
      </w:r>
      <w:r w:rsidR="00B955B4" w:rsidRPr="00FB6EBC">
        <w:rPr>
          <w:rFonts w:asciiTheme="minorHAnsi" w:hAnsiTheme="minorHAnsi" w:cstheme="minorHAnsi"/>
        </w:rPr>
        <w:t>19 pandemic</w:t>
      </w:r>
      <w:r w:rsidR="0062612A" w:rsidRPr="00FB6EBC">
        <w:rPr>
          <w:rFonts w:asciiTheme="minorHAnsi" w:hAnsiTheme="minorHAnsi" w:cstheme="minorHAnsi"/>
        </w:rPr>
        <w:t xml:space="preserve"> (September 2020):</w:t>
      </w:r>
      <w:r w:rsidR="00B955B4" w:rsidRPr="00FB6EBC">
        <w:rPr>
          <w:rFonts w:asciiTheme="minorHAnsi" w:hAnsiTheme="minorHAnsi" w:cstheme="minorHAnsi"/>
        </w:rPr>
        <w:t xml:space="preserve"> </w:t>
      </w:r>
    </w:p>
    <w:p w14:paraId="7692E0DD" w14:textId="02591552" w:rsidR="0062612A" w:rsidRPr="00FB6EBC" w:rsidRDefault="0062612A" w:rsidP="00FD45E1">
      <w:pPr>
        <w:pStyle w:val="Default"/>
        <w:rPr>
          <w:rFonts w:asciiTheme="minorHAnsi" w:hAnsiTheme="minorHAnsi" w:cstheme="minorHAnsi"/>
        </w:rPr>
      </w:pPr>
      <w:r w:rsidRPr="00FB6EBC">
        <w:rPr>
          <w:rFonts w:asciiTheme="minorHAnsi" w:hAnsiTheme="minorHAnsi" w:cstheme="minorHAnsi"/>
        </w:rPr>
        <w:t>In a prospective two-week user survey completed by 243 individuals participating in a two-day mass-gathering event in a highly endemic community, none of the 81 individuals who regularly applied Taffix® nasal spray during the event and the subsequent two weeks reported on SARS-CoV-2 infection</w:t>
      </w:r>
      <w:r w:rsidR="00651C2D">
        <w:rPr>
          <w:rFonts w:asciiTheme="minorHAnsi" w:hAnsiTheme="minorHAnsi" w:cstheme="minorHAnsi"/>
        </w:rPr>
        <w:t xml:space="preserve"> (verified by PCR)</w:t>
      </w:r>
      <w:r w:rsidRPr="00FB6EBC">
        <w:rPr>
          <w:rFonts w:asciiTheme="minorHAnsi" w:hAnsiTheme="minorHAnsi" w:cstheme="minorHAnsi"/>
        </w:rPr>
        <w:t>. In contrast, of the 18 individuals who tested SARS-CoV-2-positive in the subsequent two weeks, 16 (98%) did not use Taffix® and the remaining two individuals reported using it once or twice in the study period.</w:t>
      </w:r>
      <w:r w:rsidR="0012143B" w:rsidRPr="00FB6EBC">
        <w:rPr>
          <w:rFonts w:asciiTheme="minorHAnsi" w:hAnsiTheme="minorHAnsi" w:cstheme="minorHAnsi"/>
        </w:rPr>
        <w:t xml:space="preserve"> </w:t>
      </w:r>
      <w:r w:rsidRPr="00FB6EBC">
        <w:rPr>
          <w:rFonts w:asciiTheme="minorHAnsi" w:hAnsiTheme="minorHAnsi" w:cstheme="minorHAnsi"/>
        </w:rPr>
        <w:t xml:space="preserve"> No side effects were reported</w:t>
      </w:r>
      <w:r w:rsidR="00A63869">
        <w:rPr>
          <w:rStyle w:val="FootnoteReference"/>
          <w:rFonts w:asciiTheme="minorHAnsi" w:hAnsiTheme="minorHAnsi" w:cstheme="minorHAnsi"/>
        </w:rPr>
        <w:footnoteReference w:id="3"/>
      </w:r>
      <w:r w:rsidRPr="00FB6EBC">
        <w:rPr>
          <w:rFonts w:asciiTheme="minorHAnsi" w:hAnsiTheme="minorHAnsi" w:cstheme="minorHAnsi"/>
        </w:rPr>
        <w:t>.</w:t>
      </w:r>
    </w:p>
    <w:p w14:paraId="1794B563" w14:textId="3575DACC" w:rsidR="00FB6EBC" w:rsidRPr="009A6BC0" w:rsidRDefault="00FB6EBC" w:rsidP="00FB6EBC">
      <w:pPr>
        <w:pStyle w:val="Default"/>
        <w:rPr>
          <w:rFonts w:asciiTheme="minorHAnsi" w:hAnsiTheme="minorHAnsi" w:cstheme="minorHAnsi"/>
        </w:rPr>
      </w:pPr>
      <w:r w:rsidRPr="00FB6EBC">
        <w:rPr>
          <w:rFonts w:asciiTheme="minorHAnsi" w:hAnsiTheme="minorHAnsi" w:cstheme="minorHAnsi"/>
        </w:rPr>
        <w:t>Taffix® is legally marketed in </w:t>
      </w:r>
      <w:r w:rsidRPr="009A6BC0">
        <w:rPr>
          <w:rFonts w:asciiTheme="minorHAnsi" w:hAnsiTheme="minorHAnsi" w:cstheme="minorHAnsi"/>
        </w:rPr>
        <w:t>Europe, Israel and more</w:t>
      </w:r>
      <w:r w:rsidR="00C003C5">
        <w:rPr>
          <w:rFonts w:asciiTheme="minorHAnsi" w:hAnsiTheme="minorHAnsi" w:cstheme="minorHAnsi"/>
        </w:rPr>
        <w:t xml:space="preserve"> and additional clinical data is being collected. </w:t>
      </w:r>
    </w:p>
    <w:p w14:paraId="4EEBBBE2" w14:textId="77777777" w:rsidR="00FB6EBC" w:rsidRPr="00FB6EBC" w:rsidRDefault="00FB6EBC" w:rsidP="00FB6EBC">
      <w:pPr>
        <w:pStyle w:val="Default"/>
        <w:rPr>
          <w:rFonts w:asciiTheme="minorHAnsi" w:hAnsiTheme="minorHAnsi" w:cstheme="minorHAnsi"/>
        </w:rPr>
      </w:pPr>
    </w:p>
    <w:sectPr w:rsidR="00FB6EBC" w:rsidRPr="00FB6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6B802" w14:textId="77777777" w:rsidR="00395612" w:rsidRDefault="00395612" w:rsidP="00651C2D">
      <w:pPr>
        <w:spacing w:after="0" w:line="240" w:lineRule="auto"/>
      </w:pPr>
      <w:r>
        <w:separator/>
      </w:r>
    </w:p>
  </w:endnote>
  <w:endnote w:type="continuationSeparator" w:id="0">
    <w:p w14:paraId="40FF2885" w14:textId="77777777" w:rsidR="00395612" w:rsidRDefault="00395612" w:rsidP="00651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5F005" w14:textId="77777777" w:rsidR="00395612" w:rsidRDefault="00395612" w:rsidP="00651C2D">
      <w:pPr>
        <w:spacing w:after="0" w:line="240" w:lineRule="auto"/>
      </w:pPr>
      <w:r>
        <w:separator/>
      </w:r>
    </w:p>
  </w:footnote>
  <w:footnote w:type="continuationSeparator" w:id="0">
    <w:p w14:paraId="2B1C5061" w14:textId="77777777" w:rsidR="00395612" w:rsidRDefault="00395612" w:rsidP="00651C2D">
      <w:pPr>
        <w:spacing w:after="0" w:line="240" w:lineRule="auto"/>
      </w:pPr>
      <w:r>
        <w:continuationSeparator/>
      </w:r>
    </w:p>
  </w:footnote>
  <w:footnote w:id="1">
    <w:p w14:paraId="435B891A" w14:textId="2333D032" w:rsidR="00A63869" w:rsidRDefault="00651C2D" w:rsidP="00A63869">
      <w:pPr>
        <w:pStyle w:val="FootnoteText"/>
        <w:rPr>
          <w:rFonts w:ascii="Arial" w:hAnsi="Arial" w:cs="Arial"/>
          <w:color w:val="222222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="00A63869">
        <w:rPr>
          <w:rFonts w:ascii="Arial" w:hAnsi="Arial" w:cs="Arial"/>
          <w:color w:val="222222"/>
          <w:shd w:val="clear" w:color="auto" w:fill="FFFFFF"/>
        </w:rPr>
        <w:t>Mann, Barbara J., B. G. Moreau, Tair Lapidot, and Dalia Megiddo. "TaffiX nasal powder forms an effective barrier against SARS-CoV-2." </w:t>
      </w:r>
      <w:r w:rsidR="00A63869">
        <w:rPr>
          <w:rFonts w:ascii="Arial" w:hAnsi="Arial" w:cs="Arial"/>
          <w:i/>
          <w:iCs/>
          <w:color w:val="222222"/>
          <w:shd w:val="clear" w:color="auto" w:fill="FFFFFF"/>
        </w:rPr>
        <w:t>Biomed J Sci Tech Res</w:t>
      </w:r>
      <w:r w:rsidR="00A63869">
        <w:rPr>
          <w:rFonts w:ascii="Arial" w:hAnsi="Arial" w:cs="Arial"/>
          <w:color w:val="222222"/>
          <w:shd w:val="clear" w:color="auto" w:fill="FFFFFF"/>
        </w:rPr>
        <w:t> 33, no. 3 (2021): 25483-5.</w:t>
      </w:r>
    </w:p>
    <w:p w14:paraId="15C6DFC4" w14:textId="77777777" w:rsidR="00A63869" w:rsidRDefault="00A63869" w:rsidP="00A63869">
      <w:pPr>
        <w:pStyle w:val="FootnoteText"/>
      </w:pPr>
    </w:p>
  </w:footnote>
  <w:footnote w:id="2">
    <w:p w14:paraId="536A97DF" w14:textId="77777777" w:rsidR="00A63869" w:rsidRDefault="00651C2D" w:rsidP="00A638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A63869">
        <w:t xml:space="preserve">Michal Mandelboim, Ella Mendelson, Yaron </w:t>
      </w:r>
      <w:proofErr w:type="spellStart"/>
      <w:r w:rsidR="00A63869">
        <w:t>Drori</w:t>
      </w:r>
      <w:proofErr w:type="spellEnd"/>
      <w:r w:rsidR="00A63869">
        <w:t xml:space="preserve">, </w:t>
      </w:r>
      <w:proofErr w:type="spellStart"/>
      <w:r w:rsidR="00A63869">
        <w:t>Nofar</w:t>
      </w:r>
      <w:proofErr w:type="spellEnd"/>
      <w:r w:rsidR="00A63869">
        <w:t xml:space="preserve"> Atari, Tair Lapidot, Dalia Megiddo, Micha Gladnikoff. Taffix® Nasal Powder Spray Forms an Effective Barrier Against Infectious New Variants of SARS-Cov-2 (Alpha, Beta and Delta). Archives of Clinical and Biomedical Research 5 (2021): 794-802.</w:t>
      </w:r>
    </w:p>
    <w:p w14:paraId="71CDE627" w14:textId="7D61E630" w:rsidR="00651C2D" w:rsidRDefault="00651C2D" w:rsidP="00A63869">
      <w:pPr>
        <w:pStyle w:val="FootnoteText"/>
      </w:pPr>
    </w:p>
  </w:footnote>
  <w:footnote w:id="3">
    <w:p w14:paraId="2E9393ED" w14:textId="08EB13D3" w:rsidR="00A63869" w:rsidRDefault="00A638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F6DA4">
        <w:rPr>
          <w:rFonts w:ascii="Arial" w:hAnsi="Arial" w:cs="Arial"/>
          <w:color w:val="222222"/>
          <w:shd w:val="clear" w:color="auto" w:fill="FFFFFF"/>
        </w:rPr>
        <w:t xml:space="preserve">Shmuel, </w:t>
      </w:r>
      <w:proofErr w:type="spellStart"/>
      <w:r w:rsidR="009F6DA4">
        <w:rPr>
          <w:rFonts w:ascii="Arial" w:hAnsi="Arial" w:cs="Arial"/>
          <w:color w:val="222222"/>
          <w:shd w:val="clear" w:color="auto" w:fill="FFFFFF"/>
        </w:rPr>
        <w:t>Klang</w:t>
      </w:r>
      <w:proofErr w:type="spellEnd"/>
      <w:r w:rsidR="009F6DA4">
        <w:rPr>
          <w:rFonts w:ascii="Arial" w:hAnsi="Arial" w:cs="Arial"/>
          <w:color w:val="222222"/>
          <w:shd w:val="clear" w:color="auto" w:fill="FFFFFF"/>
        </w:rPr>
        <w:t>, Mann Barbara, Megiddo Dalia, Lapidot Tair, and Naparstek Yaakov. "Low pH Hypromellose (Taffix™) nasal powder spray reduced SARS-CoV-2 infection rate post mass-gathering event at a highly endemic community: An observational prospective open label user survey." (2021).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F4EB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B4"/>
    <w:rsid w:val="0012143B"/>
    <w:rsid w:val="00333BF1"/>
    <w:rsid w:val="00395612"/>
    <w:rsid w:val="00581E59"/>
    <w:rsid w:val="005E5BF5"/>
    <w:rsid w:val="0062612A"/>
    <w:rsid w:val="00651C2D"/>
    <w:rsid w:val="0069359D"/>
    <w:rsid w:val="008C1A53"/>
    <w:rsid w:val="009A6BC0"/>
    <w:rsid w:val="009F6DA4"/>
    <w:rsid w:val="00A63869"/>
    <w:rsid w:val="00B955B4"/>
    <w:rsid w:val="00BD7BAA"/>
    <w:rsid w:val="00C003C5"/>
    <w:rsid w:val="00FB6EBC"/>
    <w:rsid w:val="00FD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467C9"/>
  <w15:chartTrackingRefBased/>
  <w15:docId w15:val="{E04EF3A3-BA2B-440F-B53D-3FC908EA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5B4"/>
    <w:pPr>
      <w:keepNext/>
      <w:keepLines/>
      <w:numPr>
        <w:numId w:val="1"/>
      </w:numP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5B4"/>
    <w:pPr>
      <w:keepNext/>
      <w:keepLines/>
      <w:numPr>
        <w:ilvl w:val="1"/>
        <w:numId w:val="1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5B4"/>
    <w:pPr>
      <w:keepNext/>
      <w:keepLines/>
      <w:numPr>
        <w:ilvl w:val="2"/>
        <w:numId w:val="1"/>
      </w:numP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55B4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5B4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  <w:lang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5B4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  <w:lang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5B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  <w:lang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5B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  <w:lang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5B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5B4"/>
    <w:rPr>
      <w:rFonts w:asciiTheme="majorHAnsi" w:eastAsiaTheme="majorEastAsia" w:hAnsiTheme="majorHAnsi" w:cstheme="majorBidi"/>
      <w:color w:val="1F3864" w:themeColor="accent1" w:themeShade="80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B955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B955B4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B955B4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5B4"/>
    <w:rPr>
      <w:rFonts w:asciiTheme="majorHAnsi" w:eastAsiaTheme="majorEastAsia" w:hAnsiTheme="majorHAnsi" w:cstheme="majorBidi"/>
      <w:caps/>
      <w:color w:val="2F5496" w:themeColor="accent1" w:themeShade="BF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5B4"/>
    <w:rPr>
      <w:rFonts w:asciiTheme="majorHAnsi" w:eastAsiaTheme="majorEastAsia" w:hAnsiTheme="majorHAnsi" w:cstheme="majorBidi"/>
      <w:i/>
      <w:iCs/>
      <w:caps/>
      <w:color w:val="1F3864" w:themeColor="accent1" w:themeShade="80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5B4"/>
    <w:rPr>
      <w:rFonts w:asciiTheme="majorHAnsi" w:eastAsiaTheme="majorEastAsia" w:hAnsiTheme="majorHAnsi" w:cstheme="majorBidi"/>
      <w:b/>
      <w:bCs/>
      <w:color w:val="1F3864" w:themeColor="accent1" w:themeShade="80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5B4"/>
    <w:rPr>
      <w:rFonts w:asciiTheme="majorHAnsi" w:eastAsiaTheme="majorEastAsia" w:hAnsiTheme="majorHAnsi" w:cstheme="majorBidi"/>
      <w:b/>
      <w:bCs/>
      <w:i/>
      <w:iCs/>
      <w:color w:val="1F3864" w:themeColor="accent1" w:themeShade="80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5B4"/>
    <w:rPr>
      <w:rFonts w:asciiTheme="majorHAnsi" w:eastAsiaTheme="majorEastAsia" w:hAnsiTheme="majorHAnsi" w:cstheme="majorBidi"/>
      <w:i/>
      <w:iCs/>
      <w:color w:val="1F3864" w:themeColor="accent1" w:themeShade="80"/>
      <w:lang w:bidi="ar-SA"/>
    </w:rPr>
  </w:style>
  <w:style w:type="paragraph" w:customStyle="1" w:styleId="Default">
    <w:name w:val="Default"/>
    <w:rsid w:val="00333B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B6EBC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1C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1C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1C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D6963-E4C9-44EA-B63D-4BF0DABBB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Tair Lapidot</dc:creator>
  <cp:keywords/>
  <dc:description/>
  <cp:lastModifiedBy>Tair Lapidot</cp:lastModifiedBy>
  <cp:revision>2</cp:revision>
  <dcterms:created xsi:type="dcterms:W3CDTF">2021-10-18T06:34:00Z</dcterms:created>
  <dcterms:modified xsi:type="dcterms:W3CDTF">2021-10-18T06:34:00Z</dcterms:modified>
</cp:coreProperties>
</file>