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word/webSettings.xml" ContentType="application/vnd.openxmlformats-officedocument.wordprocessingml.webSettings+xml"/>
  <Override PartName="/word/theme/theme1.xml" ContentType="application/vnd.openxmlformats-officedocument.theme+xml"/>
  <Override PartName="/word/footer1.xml" ContentType="application/vnd.openxmlformats-officedocument.wordprocessingml.footer+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background w:color="ffffff"/>
  <w:body>
    <w:p>
      <w:pPr>
        <w:outlineLvl w:val="2"/>
        <w:spacing w:after="0" w:line="350" w:lineRule="atLeast"/>
        <w:rPr>
          <w:lang w:val="hy-AM"/>
          <w:rFonts w:ascii="Sylfaen" w:eastAsia="Times New Roman" w:hAnsi="Sylfaen" w:cs="Segoe UI"/>
          <w:b/>
          <w:color w:val="000000"/>
          <w:sz w:val="28"/>
        </w:rPr>
      </w:pPr>
    </w:p>
    <w:p>
      <w:pPr>
        <w:outlineLvl w:val="2"/>
        <w:spacing w:after="0" w:line="350" w:lineRule="atLeast"/>
        <w:rPr>
          <w:lang w:val="hy-AM"/>
          <w:rFonts w:ascii="Sylfaen" w:eastAsia="Times New Roman" w:hAnsi="Sylfaen" w:cs="Segoe UI"/>
          <w:b/>
          <w:color w:val="000000"/>
          <w:sz w:val="28"/>
        </w:rPr>
      </w:pPr>
      <w:r>
        <w:rPr>
          <w:lang w:val="hy-AM"/>
          <w:rFonts w:ascii="Sylfaen" w:eastAsia="Times New Roman" w:hAnsi="Sylfaen" w:cs="Segoe UI"/>
          <w:b/>
          <w:color w:val="000000"/>
          <w:sz w:val="28"/>
        </w:rPr>
        <w:t xml:space="preserve">              </w:t>
      </w:r>
    </w:p>
    <w:p>
      <w:pPr>
        <w:outlineLvl w:val="2"/>
        <w:spacing w:after="0" w:line="350" w:lineRule="atLeast"/>
        <w:rPr>
          <w:lang w:val="hy-AM"/>
          <w:rFonts w:ascii="Sylfaen" w:eastAsia="Times New Roman" w:hAnsi="Sylfaen" w:cs="Segoe UI"/>
          <w:b/>
          <w:color w:val="000000"/>
          <w:sz w:val="28"/>
        </w:rPr>
      </w:pPr>
    </w:p>
    <w:p>
      <w:pPr>
        <w:outlineLvl w:val="2"/>
        <w:jc w:val="center"/>
        <w:spacing w:after="0" w:line="350" w:lineRule="atLeast"/>
        <w:rPr>
          <w:lang w:val="hy-AM"/>
          <w:rFonts w:asciiTheme="majorHAnsi" w:eastAsia="Times New Roman" w:hAnsiTheme="majorHAnsi" w:cs="Segoe UI"/>
          <w:b/>
          <w:color w:val="000000"/>
          <w:sz w:val="32"/>
          <w:szCs w:val="18"/>
        </w:rPr>
      </w:pPr>
      <w:r>
        <w:rPr>
          <w:lang w:val="hy-AM"/>
          <w:rFonts w:asciiTheme="majorHAnsi" w:eastAsia="Times New Roman" w:hAnsiTheme="majorHAnsi" w:cs="Segoe UI"/>
          <w:b/>
          <w:color w:val="000000"/>
          <w:sz w:val="32"/>
        </w:rPr>
        <w:t xml:space="preserve">MEASLES TREND IN </w:t>
      </w:r>
      <w:r>
        <w:rPr>
          <w:rFonts w:asciiTheme="majorHAnsi" w:eastAsia="Times New Roman" w:hAnsiTheme="majorHAnsi" w:cs="Segoe UI"/>
          <w:b/>
          <w:color w:val="000000"/>
          <w:sz w:val="32"/>
        </w:rPr>
        <w:t xml:space="preserve">THE FEDERAL CAPITAL TERRITORY </w:t>
      </w:r>
      <w:r>
        <w:rPr>
          <w:lang w:val="hy-AM"/>
          <w:rFonts w:asciiTheme="majorHAnsi" w:eastAsia="Times New Roman" w:hAnsiTheme="majorHAnsi" w:cs="Segoe UI"/>
          <w:b/>
          <w:color w:val="000000"/>
          <w:sz w:val="32"/>
        </w:rPr>
        <w:t>NIGERIA</w:t>
      </w:r>
      <w:r>
        <w:rPr>
          <w:rFonts w:asciiTheme="majorHAnsi" w:eastAsia="Times New Roman" w:hAnsiTheme="majorHAnsi" w:cs="Segoe UI"/>
          <w:b/>
          <w:color w:val="000000"/>
          <w:sz w:val="32"/>
        </w:rPr>
        <w:t xml:space="preserve"> </w:t>
      </w:r>
      <w:r>
        <w:rPr>
          <w:lang w:val="hy-AM"/>
          <w:rFonts w:ascii="Sylfaen" w:eastAsia="Times New Roman" w:hAnsi="Sylfaen" w:cs="Segoe UI"/>
          <w:b/>
          <w:color w:val="000000"/>
          <w:sz w:val="32"/>
        </w:rPr>
        <w:t>,</w:t>
      </w:r>
      <w:r>
        <w:rPr>
          <w:rFonts w:asciiTheme="majorHAnsi" w:eastAsia="Times New Roman" w:hAnsiTheme="majorHAnsi" w:cs="Segoe UI"/>
          <w:b/>
          <w:color w:val="000000"/>
          <w:sz w:val="32"/>
        </w:rPr>
        <w:t xml:space="preserve"> 2012-2015. </w:t>
      </w:r>
    </w:p>
    <w:p>
      <w:pPr>
        <w:jc w:val="center"/>
        <w:shd w:val="clear" w:color="auto" w:fill="FFFFFF"/>
        <w:spacing w:after="0" w:line="360" w:lineRule="auto"/>
        <w:rPr>
          <w:rFonts w:ascii="Sylfaen" w:eastAsia="Times New Roman" w:hAnsi="Sylfaen" w:cs="Times New Roman"/>
          <w:color w:val="000000"/>
          <w:sz w:val="28"/>
          <w:szCs w:val="28"/>
        </w:rPr>
      </w:pPr>
    </w:p>
    <w:p>
      <w:pPr>
        <w:jc w:val="both"/>
        <w:shd w:val="clear" w:color="auto" w:fill="FFFFFF"/>
        <w:spacing w:after="0" w:line="360" w:lineRule="auto"/>
        <w:rPr>
          <w:lang w:val="hy-AM"/>
          <w:rFonts w:ascii="Sylfaen" w:eastAsia="Times New Roman" w:hAnsi="Sylfaen" w:cs="Times New Roman"/>
          <w:b/>
          <w:color w:val="000000"/>
          <w:sz w:val="28"/>
          <w:szCs w:val="28"/>
        </w:rPr>
      </w:pP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8480" allowOverlap="1" hidden="0">
                <wp:simplePos x="0" y="0"/>
                <wp:positionH relativeFrom="column">
                  <wp:posOffset>301625</wp:posOffset>
                </wp:positionH>
                <wp:positionV relativeFrom="paragraph">
                  <wp:posOffset>-1682019</wp:posOffset>
                </wp:positionV>
                <wp:extent cx="7314" cy="7314"/>
                <wp:effectExtent l="0" t="0" r="19050" b="19050"/>
                <wp:wrapNone/>
                <wp:docPr id="1033" name="shape1033" hidden="0"/>
                <wp:cNvGraphicFramePr/>
                <a:graphic xmlns:a="http://schemas.openxmlformats.org/drawingml/2006/main">
                  <a:graphicData uri="http://schemas.microsoft.com/office/word/2010/wordprocessingShape">
                    <wps:wsp>
                      <wps:cNvSpPr>
                        <a:spLocks/>
                      </wps:cNvSpPr>
                      <wps:spPr>
                        <a:xfrm>
                          <a:off x="2091958" y="2589347"/>
                          <a:ext cx="7314" cy="7314"/>
                        </a:xfrm>
                        <a:custGeom>
                          <a:avLst/>
                          <a:gdLst/>
                          <a:pathLst>
                            <a:path w="21600" h="21600">
                              <a:moveTo>
                                <a:pt x="0" y="0"/>
                              </a:move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23.75pt;margin-top:-132.442pt;width:0pt;height:0pt;mso-wrap-style:infront;mso-position-horizontal-relative:column;mso-position-vertical-relative:line;z-index:251668480" coordsize="21600, 21600" path="m0,0x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7456" allowOverlap="1" hidden="0">
                <wp:simplePos x="0" y="0"/>
                <wp:positionH relativeFrom="column">
                  <wp:posOffset>2261922</wp:posOffset>
                </wp:positionH>
                <wp:positionV relativeFrom="paragraph">
                  <wp:posOffset>1017046</wp:posOffset>
                </wp:positionV>
                <wp:extent cx="21943" cy="14629"/>
                <wp:effectExtent l="0" t="0" r="19050" b="19050"/>
                <wp:wrapNone/>
                <wp:docPr id="1032" name="shape1032" hidden="0"/>
                <wp:cNvGraphicFramePr/>
                <a:graphic xmlns:a="http://schemas.openxmlformats.org/drawingml/2006/main">
                  <a:graphicData uri="http://schemas.microsoft.com/office/word/2010/wordprocessingShape">
                    <wps:wsp>
                      <wps:cNvSpPr>
                        <a:spLocks/>
                      </wps:cNvSpPr>
                      <wps:spPr>
                        <a:xfrm>
                          <a:off x="-7314" y="-7314"/>
                          <a:ext cx="21943" cy="14629"/>
                        </a:xfrm>
                        <a:custGeom>
                          <a:avLst/>
                          <a:gdLst/>
                          <a:pathLst>
                            <a:path w="21600" h="21600">
                              <a:moveTo>
                                <a:pt x="0" y="0"/>
                              </a:moveTo>
                              <a:cubicBezTo>
                                <a:pt x="0" y="0"/>
                                <a:pt x="0" y="0"/>
                                <a:pt x="21600" y="21600"/>
                              </a:cubicBez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178.104pt;margin-top:80.0824pt;width:1.1519pt;height:0.575948pt;mso-wrap-style:infront;mso-position-horizontal-relative:column;mso-position-vertical-relative:line;z-index:251667456" coordsize="21600, 21600" path="m0,0qb0,0,21600,21600x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6432" allowOverlap="1" hidden="0">
                <wp:simplePos x="0" y="0"/>
                <wp:positionH relativeFrom="column">
                  <wp:posOffset>301625</wp:posOffset>
                </wp:positionH>
                <wp:positionV relativeFrom="paragraph">
                  <wp:posOffset>-1682019</wp:posOffset>
                </wp:positionV>
                <wp:extent cx="7314" cy="7314"/>
                <wp:effectExtent l="0" t="0" r="19050" b="19050"/>
                <wp:wrapNone/>
                <wp:docPr id="1031" name="shape1031" hidden="0"/>
                <wp:cNvGraphicFramePr/>
                <a:graphic xmlns:a="http://schemas.openxmlformats.org/drawingml/2006/main">
                  <a:graphicData uri="http://schemas.microsoft.com/office/word/2010/wordprocessingShape">
                    <wps:wsp>
                      <wps:cNvSpPr>
                        <a:spLocks/>
                      </wps:cNvSpPr>
                      <wps:spPr>
                        <a:xfrm>
                          <a:off x="1784747" y="2567403"/>
                          <a:ext cx="7314" cy="7314"/>
                        </a:xfrm>
                        <a:custGeom>
                          <a:avLst/>
                          <a:gdLst/>
                          <a:pathLst>
                            <a:path w="21600" h="21600">
                              <a:moveTo>
                                <a:pt x="0" y="0"/>
                              </a:move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23.75pt;margin-top:-132.442pt;width:0pt;height:0pt;mso-wrap-style:infront;mso-position-horizontal-relative:column;mso-position-vertical-relative:line;z-index:251666432" coordsize="21600, 21600" path="m0,0x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3360" allowOverlap="1" hidden="0">
                <wp:simplePos x="0" y="0"/>
                <wp:positionH relativeFrom="column">
                  <wp:posOffset>1771847</wp:posOffset>
                </wp:positionH>
                <wp:positionV relativeFrom="paragraph">
                  <wp:posOffset>724464</wp:posOffset>
                </wp:positionV>
                <wp:extent cx="14629" cy="29258"/>
                <wp:effectExtent l="0" t="0" r="19050" b="19050"/>
                <wp:wrapNone/>
                <wp:docPr id="1028" name="shape1028" hidden="0"/>
                <wp:cNvGraphicFramePr/>
                <a:graphic xmlns:a="http://schemas.openxmlformats.org/drawingml/2006/main">
                  <a:graphicData uri="http://schemas.microsoft.com/office/word/2010/wordprocessingShape">
                    <wps:wsp>
                      <wps:cNvSpPr>
                        <a:spLocks/>
                      </wps:cNvSpPr>
                      <wps:spPr>
                        <a:xfrm>
                          <a:off x="0" y="-7314"/>
                          <a:ext cx="14629" cy="29258"/>
                        </a:xfrm>
                        <a:custGeom>
                          <a:avLst/>
                          <a:gdLst/>
                          <a:pathLst>
                            <a:path w="21600" h="21600">
                              <a:moveTo>
                                <a:pt x="21600" y="21600"/>
                              </a:moveTo>
                              <a:cubicBezTo>
                                <a:pt x="21600" y="21600"/>
                                <a:pt x="21600" y="21600"/>
                                <a:pt x="0" y="0"/>
                              </a:cubicBez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139.516pt;margin-top:57.0444pt;width:0.575948pt;height:1.72784pt;mso-wrap-style:infront;mso-position-horizontal-relative:column;mso-position-vertical-relative:line;z-index:251663360" coordsize="21600, 21600" path="m21600,21600qb21600,21600,0,0x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1312" allowOverlap="1" hidden="0">
                <wp:simplePos x="0" y="0"/>
                <wp:positionH relativeFrom="column">
                  <wp:posOffset>1991283</wp:posOffset>
                </wp:positionH>
                <wp:positionV relativeFrom="paragraph">
                  <wp:posOffset>782980</wp:posOffset>
                </wp:positionV>
                <wp:extent cx="21943" cy="21943"/>
                <wp:effectExtent l="0" t="0" r="19050" b="19050"/>
                <wp:wrapNone/>
                <wp:docPr id="1026" name="shape1026" hidden="0"/>
                <wp:cNvGraphicFramePr/>
                <a:graphic xmlns:a="http://schemas.openxmlformats.org/drawingml/2006/main">
                  <a:graphicData uri="http://schemas.microsoft.com/office/word/2010/wordprocessingShape">
                    <wps:wsp>
                      <wps:cNvSpPr>
                        <a:spLocks/>
                      </wps:cNvSpPr>
                      <wps:spPr>
                        <a:xfrm>
                          <a:off x="0" y="-7314"/>
                          <a:ext cx="21943" cy="21943"/>
                        </a:xfrm>
                        <a:custGeom>
                          <a:avLst/>
                          <a:gdLst/>
                          <a:pathLst>
                            <a:path w="21600" h="21600">
                              <a:moveTo>
                                <a:pt x="0" y="21600"/>
                              </a:moveTo>
                              <a:cubicBezTo>
                                <a:pt x="0" y="21600"/>
                                <a:pt x="0" y="21600"/>
                                <a:pt x="21600" y="0"/>
                              </a:cubicBez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156.794pt;margin-top:61.652pt;width:1.72784pt;height:1.1519pt;mso-wrap-style:infront;mso-position-horizontal-relative:column;mso-position-vertical-relative:line;z-index:251661312" coordsize="21600, 21600" path="m0,21600qb0,21600,21600,0x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0288" allowOverlap="1" hidden="0">
                <wp:simplePos x="0" y="0"/>
                <wp:positionH relativeFrom="column">
                  <wp:posOffset>301625</wp:posOffset>
                </wp:positionH>
                <wp:positionV relativeFrom="paragraph">
                  <wp:posOffset>-1682019</wp:posOffset>
                </wp:positionV>
                <wp:extent cx="7314" cy="7314"/>
                <wp:effectExtent l="0" t="0" r="19050" b="19050"/>
                <wp:wrapNone/>
                <wp:docPr id="1025" name="shape1025" hidden="0"/>
                <wp:cNvGraphicFramePr/>
                <a:graphic xmlns:a="http://schemas.openxmlformats.org/drawingml/2006/main">
                  <a:graphicData uri="http://schemas.microsoft.com/office/word/2010/wordprocessingShape">
                    <wps:wsp>
                      <wps:cNvSpPr>
                        <a:spLocks/>
                      </wps:cNvSpPr>
                      <wps:spPr>
                        <a:xfrm>
                          <a:off x="1360504" y="2238249"/>
                          <a:ext cx="7314" cy="7314"/>
                        </a:xfrm>
                        <a:custGeom>
                          <a:avLst/>
                          <a:gdLst/>
                          <a:pathLst>
                            <a:path w="21600" h="21600">
                              <a:moveTo>
                                <a:pt x="0" y="0"/>
                              </a:move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23.75pt;margin-top:-132.442pt;width:0pt;height:0pt;mso-wrap-style:infront;mso-position-horizontal-relative:column;mso-position-vertical-relative:line;z-index:251660288" coordsize="21600, 21600" path="m0,0xe" filled="f" stroked="t" strokecolor="#0" strokeweight="1.5pt">
                <v:stroke joinstyle="round"/>
              </v:shape>
            </w:pict>
          </mc:Fallback>
        </mc:AlternateContent>
      </w:r>
      <w:r>
        <w:rPr>
          <w:rFonts w:ascii="Times New Roman" w:eastAsia="Times New Roman" w:hAnsi="Times New Roman" w:cs="Times New Roman"/>
          <w:b/>
          <w:color w:val="000000"/>
          <w:sz w:val="28"/>
          <w:szCs w:val="28"/>
        </w:rPr>
        <w:t xml:space="preserve">Introduction: </w:t>
      </w:r>
      <w:r>
        <w:rPr>
          <w:rFonts w:ascii="Times New Roman" w:eastAsia="Times New Roman" w:hAnsi="Times New Roman" w:cs="Times New Roman"/>
          <w:color w:val="000000"/>
          <w:sz w:val="28"/>
          <w:szCs w:val="28"/>
        </w:rPr>
        <w:t>High vaccination coverage rates with measles vaccine have resulted in significant decline in the incidence of measles vaccine in many countries. This study describes the measles surveillance data for the Federal Capital Territory (FCT) for years 2012-2015.</w:t>
      </w:r>
      <w:r>
        <w:rPr>
          <w:lang w:val="hy-AM"/>
          <w:rFonts w:ascii="Sylfaen" w:eastAsia="Times New Roman" w:hAnsi="Sylfaen" w:cs="Times New Roman"/>
          <w:color w:val="000000"/>
          <w:sz w:val="28"/>
          <w:szCs w:val="28"/>
        </w:rPr>
        <w:t xml:space="preserve"> </w:t>
      </w:r>
    </w:p>
    <w:p>
      <w:pPr>
        <w:jc w:val="both"/>
        <w:shd w:val="clear" w:color="auto" w:fill="FFFFFF"/>
        <w:spacing w:after="0" w:line="360" w:lineRule="auto"/>
        <w:rPr>
          <w:lang w:val="hy-AM"/>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5408" allowOverlap="1" hidden="0">
                <wp:simplePos x="0" y="0"/>
                <wp:positionH relativeFrom="column">
                  <wp:posOffset>2174147</wp:posOffset>
                </wp:positionH>
                <wp:positionV relativeFrom="paragraph">
                  <wp:posOffset>185315</wp:posOffset>
                </wp:positionV>
                <wp:extent cx="87774" cy="43887"/>
                <wp:effectExtent l="0" t="0" r="19050" b="19050"/>
                <wp:wrapNone/>
                <wp:docPr id="1030" name="shape1030" hidden="0"/>
                <wp:cNvGraphicFramePr/>
                <a:graphic xmlns:a="http://schemas.openxmlformats.org/drawingml/2006/main">
                  <a:graphicData uri="http://schemas.microsoft.com/office/word/2010/wordprocessingShape">
                    <wps:wsp>
                      <wps:cNvSpPr>
                        <a:spLocks/>
                      </wps:cNvSpPr>
                      <wps:spPr>
                        <a:xfrm>
                          <a:off x="-7314" y="-7314"/>
                          <a:ext cx="87774" cy="43887"/>
                        </a:xfrm>
                        <a:custGeom>
                          <a:avLst/>
                          <a:gdLst/>
                          <a:pathLst>
                            <a:path w="21600" h="21600">
                              <a:moveTo>
                                <a:pt x="11557" y="4320"/>
                              </a:moveTo>
                              <a:cubicBezTo>
                                <a:pt x="11557" y="4320"/>
                                <a:pt x="11557" y="4320"/>
                                <a:pt x="5778" y="2160"/>
                              </a:cubicBezTo>
                              <a:cubicBezTo>
                                <a:pt x="5778" y="2160"/>
                                <a:pt x="0" y="0"/>
                                <a:pt x="892" y="8660"/>
                              </a:cubicBezTo>
                              <a:cubicBezTo>
                                <a:pt x="892" y="8660"/>
                                <a:pt x="1784" y="17321"/>
                                <a:pt x="6922" y="19460"/>
                              </a:cubicBezTo>
                              <a:cubicBezTo>
                                <a:pt x="6922" y="19460"/>
                                <a:pt x="12061" y="21600"/>
                                <a:pt x="21600" y="21600"/>
                              </a:cubicBezTo>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171.193pt;margin-top:14.5918pt;width:6.33543pt;height:2.87974pt;mso-wrap-style:infront;mso-position-horizontal-relative:column;mso-position-vertical-relative:line;z-index:251665408" coordsize="21600, 21600" path="m11557,4320qb11557,4320,5778,2160qb0,0,892,8660qb1784,17321,6922,19460qb12061,21600,21600,21600l12061,21600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4384" allowOverlap="1" hidden="0">
                <wp:simplePos x="0" y="0"/>
                <wp:positionH relativeFrom="column">
                  <wp:posOffset>2086372</wp:posOffset>
                </wp:positionH>
                <wp:positionV relativeFrom="paragraph">
                  <wp:posOffset>668074</wp:posOffset>
                </wp:positionV>
                <wp:extent cx="21943" cy="14629"/>
                <wp:effectExtent l="0" t="0" r="19050" b="19050"/>
                <wp:wrapNone/>
                <wp:docPr id="1029" name="shape1029" hidden="0"/>
                <wp:cNvGraphicFramePr/>
                <a:graphic xmlns:a="http://schemas.openxmlformats.org/drawingml/2006/main">
                  <a:graphicData uri="http://schemas.microsoft.com/office/word/2010/wordprocessingShape">
                    <wps:wsp>
                      <wps:cNvSpPr>
                        <a:spLocks/>
                      </wps:cNvSpPr>
                      <wps:spPr>
                        <a:xfrm>
                          <a:off x="-7314" y="0"/>
                          <a:ext cx="21943" cy="14629"/>
                        </a:xfrm>
                        <a:custGeom>
                          <a:avLst/>
                          <a:gdLst/>
                          <a:pathLst>
                            <a:path w="21600" h="21600">
                              <a:moveTo>
                                <a:pt x="0" y="21600"/>
                              </a:moveTo>
                              <a:cubicBezTo>
                                <a:pt x="0" y="21600"/>
                                <a:pt x="0" y="21600"/>
                                <a:pt x="21600" y="0"/>
                              </a:cubicBez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164.281pt;margin-top:52.6043pt;width:1.1519pt;height:0.575948pt;mso-wrap-style:infront;mso-position-horizontal-relative:column;mso-position-vertical-relative:line;z-index:251664384" coordsize="21600, 21600" path="m0,21600qb0,21600,21600,0xe" filled="f" stroked="t" strokecolor="#0" strokeweight="1.5pt">
                <v:stroke joinstyle="round"/>
              </v:shape>
            </w:pict>
          </mc:Fallback>
        </mc:AlternateContent>
      </w:r>
      <w:r>
        <w:rPr>
          <w:rFonts w:ascii="Times New Roman" w:eastAsia="Times New Roman" w:hAnsi="Times New Roman" w:cs="Times New Roman"/>
          <w:b/>
          <w:color w:val="000000"/>
          <w:sz w:val="28"/>
          <w:szCs w:val="28"/>
        </w:rPr>
        <mc:AlternateContent>
          <mc:Choice Requires="wps">
            <w:drawing>
              <wp:anchor distT="0" distB="0" distL="114300" distR="114300" behindDoc="0" locked="0" layoutInCell="1" simplePos="0" relativeHeight="251662336" allowOverlap="1" hidden="0">
                <wp:simplePos x="0" y="0"/>
                <wp:positionH relativeFrom="column">
                  <wp:posOffset>301625</wp:posOffset>
                </wp:positionH>
                <wp:positionV relativeFrom="paragraph">
                  <wp:posOffset>-2908735</wp:posOffset>
                </wp:positionV>
                <wp:extent cx="7314" cy="7314"/>
                <wp:effectExtent l="0" t="0" r="19050" b="19050"/>
                <wp:wrapNone/>
                <wp:docPr id="1027" name="shape1027" hidden="0"/>
                <wp:cNvGraphicFramePr/>
                <a:graphic xmlns:a="http://schemas.openxmlformats.org/drawingml/2006/main">
                  <a:graphicData uri="http://schemas.microsoft.com/office/word/2010/wordprocessingShape">
                    <wps:wsp>
                      <wps:cNvSpPr>
                        <a:spLocks/>
                      </wps:cNvSpPr>
                      <wps:spPr>
                        <a:xfrm>
                          <a:off x="1543368" y="3006276"/>
                          <a:ext cx="7314" cy="7314"/>
                        </a:xfrm>
                        <a:custGeom>
                          <a:avLst/>
                          <a:gdLst/>
                          <a:pathLst>
                            <a:path w="21600" h="21600">
                              <a:moveTo>
                                <a:pt x="0" y="0"/>
                              </a:moveTo>
                              <a:close/>
                            </a:path>
                          </a:pathLst>
                        </a:custGeom>
                        <a:ln w="19050" cap="rnd">
                          <a:solidFill>
                            <a:srgbClr val="0">
                              <a:alpha val="100000"/>
                            </a:srgbClr>
                          </a:solidFill>
                        </a:ln>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style="position:absolute;margin-left:23.75pt;margin-top:-229.034pt;width:0pt;height:0pt;mso-wrap-style:infront;mso-position-horizontal-relative:column;mso-position-vertical-relative:line;z-index:251662336" coordsize="21600, 21600" path="m0,0xe" filled="f" stroked="t" strokecolor="#0" strokeweight="1.5pt">
                <v:stroke joinstyle="round"/>
              </v:shape>
            </w:pict>
          </mc:Fallback>
        </mc:AlternateContent>
      </w:r>
      <w:r>
        <w:rPr>
          <w:rFonts w:ascii="Times New Roman" w:eastAsia="Times New Roman" w:hAnsi="Times New Roman" w:cs="Times New Roman"/>
          <w:b/>
          <w:color w:val="000000"/>
          <w:sz w:val="28"/>
          <w:szCs w:val="28"/>
        </w:rPr>
        <w:t>Method</w:t>
      </w:r>
      <w:r>
        <w:rPr>
          <w:lang w:val="hy-AM"/>
          <w:rFonts w:ascii="Times New Roman" w:eastAsia="Times New Roman" w:hAnsi="Times New Roman" w:cs="Times New Roman"/>
          <w:b/>
          <w:color w:val="000000"/>
          <w:sz w:val="28"/>
          <w:szCs w:val="28"/>
        </w:rPr>
        <w:t xml:space="preserve">: </w:t>
      </w:r>
      <w:r>
        <w:rPr>
          <w:lang w:val="hy-AM"/>
          <w:rFonts w:ascii="Times New Roman" w:eastAsia="Times New Roman" w:hAnsi="Times New Roman" w:cs="Times New Roman"/>
          <w:color w:val="000000"/>
          <w:sz w:val="28"/>
          <w:szCs w:val="28"/>
        </w:rPr>
        <w:t xml:space="preserve">This was </w:t>
      </w:r>
      <w:r>
        <w:rPr>
          <w:rFonts w:ascii="Times New Roman" w:eastAsia="Times New Roman" w:hAnsi="Times New Roman" w:cs="Times New Roman"/>
          <w:color w:val="000000"/>
          <w:sz w:val="28"/>
          <w:szCs w:val="28"/>
        </w:rPr>
        <w:t xml:space="preserve">a secondary analysis of </w:t>
      </w:r>
      <w:r>
        <w:rPr>
          <w:lang w:val="hy-AM"/>
          <w:rFonts w:ascii="Times New Roman" w:eastAsia="Times New Roman" w:hAnsi="Times New Roman" w:cs="Times New Roman"/>
          <w:color w:val="000000"/>
          <w:sz w:val="28"/>
          <w:szCs w:val="28"/>
        </w:rPr>
        <w:t xml:space="preserve">the FCT </w:t>
      </w:r>
      <w:r>
        <w:rPr>
          <w:rFonts w:ascii="Times New Roman" w:hAnsi="Times New Roman" w:cs="Times New Roman"/>
          <w:sz w:val="28"/>
          <w:szCs w:val="28"/>
        </w:rPr>
        <w:t>IDSR measles surveillance data from 2012- 2015</w:t>
      </w:r>
      <w:r>
        <w:rPr>
          <w:lang w:val="hy-AM"/>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The IDSR paper forms were filled monthly by DSNOs and entered into Ms Excel. We imported the data into Epi</w:t>
      </w:r>
      <w:r>
        <w:rPr>
          <w:lang w:val="hy-AM"/>
          <w:rFonts w:ascii="Sylfaen" w:eastAsia="Times New Roman" w:hAnsi="Sylfaen" w:cs="Times New Roman"/>
          <w:color w:val="000000"/>
          <w:sz w:val="28"/>
          <w:szCs w:val="28"/>
        </w:rPr>
        <w:t>info</w:t>
      </w:r>
      <w:r>
        <w:rPr>
          <w:rFonts w:ascii="Times New Roman" w:eastAsia="Times New Roman" w:hAnsi="Times New Roman" w:cs="Times New Roman"/>
          <w:color w:val="000000"/>
          <w:sz w:val="28"/>
          <w:szCs w:val="28"/>
        </w:rPr>
        <w:t xml:space="preserve"> 7 which we used to analyse it. We calculated proportions and tested associations using chi-square at p=0.05.  </w:t>
      </w:r>
    </w:p>
    <w:p>
      <w:pPr>
        <w:jc w:val="both"/>
        <w:shd w:val="clear" w:color="auto" w:fill="FFFFFF"/>
        <w:spacing w:after="0" w:line="360" w:lineRule="auto"/>
        <w:rPr>
          <w:lang w:val="hy-AM"/>
          <w:rFonts w:ascii="Sylfaen" w:eastAsia="Times New Roman" w:hAnsi="Sylfaen" w:cs="Times New Roman"/>
          <w:b/>
          <w:color w:val="000000"/>
          <w:sz w:val="28"/>
          <w:szCs w:val="28"/>
        </w:rPr>
      </w:pPr>
      <w:r>
        <w:rPr>
          <w:rFonts w:ascii="Times New Roman" w:eastAsia="Times New Roman" w:hAnsi="Times New Roman" w:cs="Times New Roman"/>
          <w:b/>
          <w:color w:val="000000"/>
          <w:sz w:val="28"/>
          <w:szCs w:val="28"/>
        </w:rPr>
        <w:t>Results</w:t>
      </w:r>
      <w:r>
        <w:rPr>
          <w:rFonts w:ascii="Sylfaen" w:eastAsia="Times New Roman" w:hAnsi="Sylfaen" w:cs="Times New Roman"/>
          <w:b/>
          <w:color w:val="000000"/>
          <w:sz w:val="28"/>
          <w:szCs w:val="28"/>
        </w:rPr>
        <w:t xml:space="preserve">: </w:t>
      </w:r>
      <w:r>
        <w:rPr>
          <w:rFonts w:ascii="Times New Roman" w:eastAsia="Times New Roman" w:hAnsi="Times New Roman" w:cs="Times New Roman"/>
          <w:color w:val="000000"/>
          <w:sz w:val="28"/>
          <w:szCs w:val="28"/>
        </w:rPr>
        <w:t xml:space="preserve">Five hundred and sixty-six suspected measles cases were reported during the period. The </w:t>
      </w:r>
      <w:r>
        <w:rPr>
          <w:lang w:val="hy-AM"/>
          <w:rFonts w:ascii="Sylfaen" w:eastAsia="Times New Roman" w:hAnsi="Sylfaen" w:cs="Times New Roman"/>
          <w:color w:val="000000"/>
          <w:sz w:val="28"/>
          <w:szCs w:val="28"/>
        </w:rPr>
        <w:t>age range 3-576 months.</w:t>
      </w:r>
      <w:r>
        <w:rPr>
          <w:rFonts w:ascii="Times New Roman" w:eastAsia="Times New Roman" w:hAnsi="Times New Roman" w:cs="Times New Roman"/>
          <w:color w:val="000000"/>
          <w:sz w:val="28"/>
          <w:szCs w:val="28"/>
        </w:rPr>
        <w:t>There were </w:t>
      </w:r>
      <w:r>
        <w:rPr>
          <w:lang w:val="hy-AM"/>
          <w:rFonts w:ascii="Times New Roman" w:eastAsia="Times New Roman" w:hAnsi="Times New Roman" w:cs="Times New Roman"/>
          <w:color w:val="000000"/>
          <w:sz w:val="28"/>
          <w:szCs w:val="28"/>
        </w:rPr>
        <w:t>203(</w:t>
      </w:r>
      <w:r>
        <w:rPr>
          <w:rFonts w:ascii="Times New Roman" w:eastAsia="Times New Roman" w:hAnsi="Times New Roman" w:cs="Times New Roman"/>
          <w:color w:val="000000"/>
          <w:sz w:val="28"/>
          <w:szCs w:val="28"/>
        </w:rPr>
        <w:t>35.5%</w:t>
      </w:r>
      <w:r>
        <w:rPr>
          <w:lang w:val="hy-AM"/>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males</w:t>
      </w:r>
      <w:r>
        <w:rPr>
          <w:lang w:val="hy-AM"/>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w:t>
      </w:r>
      <w:r>
        <w:rPr>
          <w:lang w:val="hy-AM"/>
          <w:rFonts w:ascii="Times New Roman" w:eastAsia="Times New Roman" w:hAnsi="Times New Roman" w:cs="Times New Roman"/>
          <w:color w:val="000000"/>
          <w:sz w:val="28"/>
          <w:szCs w:val="28"/>
        </w:rPr>
        <w:t>147(</w:t>
      </w:r>
      <w:r>
        <w:rPr>
          <w:rFonts w:ascii="Times New Roman" w:eastAsia="Times New Roman" w:hAnsi="Times New Roman" w:cs="Times New Roman"/>
          <w:color w:val="000000"/>
          <w:sz w:val="28"/>
          <w:szCs w:val="28"/>
        </w:rPr>
        <w:t>26.0%</w:t>
      </w:r>
      <w:r>
        <w:rPr>
          <w:lang w:val="hy-AM"/>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females and the rest unknown.</w:t>
      </w:r>
      <w:r>
        <w:rPr>
          <w:lang w:val="hy-AM"/>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Abuja Municipal Area Council</w:t>
      </w:r>
      <w:r>
        <w:rPr>
          <w:lang w:val="hy-AM"/>
          <w:rFonts w:ascii="Times New Roman" w:eastAsia="Times New Roman" w:hAnsi="Times New Roman" w:cs="Times New Roman"/>
          <w:color w:val="000000"/>
          <w:sz w:val="28"/>
          <w:szCs w:val="28"/>
        </w:rPr>
        <w:t>(AMAC)</w:t>
      </w:r>
      <w:r>
        <w:rPr>
          <w:rFonts w:ascii="Times New Roman" w:eastAsia="Times New Roman" w:hAnsi="Times New Roman" w:cs="Times New Roman"/>
          <w:color w:val="000000"/>
          <w:sz w:val="28"/>
          <w:szCs w:val="28"/>
        </w:rPr>
        <w:t xml:space="preserve"> had </w:t>
      </w:r>
      <w:r>
        <w:rPr>
          <w:lang w:val="hy-AM"/>
          <w:rFonts w:ascii="Times New Roman" w:eastAsia="Times New Roman" w:hAnsi="Times New Roman" w:cs="Times New Roman"/>
          <w:color w:val="000000"/>
          <w:sz w:val="28"/>
          <w:szCs w:val="28"/>
        </w:rPr>
        <w:t>166(</w:t>
      </w:r>
      <w:r>
        <w:rPr>
          <w:rFonts w:ascii="Times New Roman" w:eastAsia="Times New Roman" w:hAnsi="Times New Roman" w:cs="Times New Roman"/>
          <w:color w:val="000000"/>
          <w:sz w:val="28"/>
          <w:szCs w:val="28"/>
        </w:rPr>
        <w:t xml:space="preserve"> 29.3%</w:t>
      </w:r>
      <w:r>
        <w:rPr>
          <w:lang w:val="hy-AM"/>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the highest number of cases</w:t>
      </w:r>
      <w:r>
        <w:rPr>
          <w:lang w:val="hy-AM"/>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while Kwali Local Government Area had </w:t>
      </w:r>
      <w:r>
        <w:rPr>
          <w:lang w:val="hy-AM"/>
          <w:rFonts w:ascii="Times New Roman" w:eastAsia="Times New Roman" w:hAnsi="Times New Roman" w:cs="Times New Roman"/>
          <w:color w:val="000000"/>
          <w:sz w:val="28"/>
          <w:szCs w:val="28"/>
        </w:rPr>
        <w:t>35(</w:t>
      </w:r>
      <w:r>
        <w:rPr>
          <w:rFonts w:ascii="Times New Roman" w:eastAsia="Times New Roman" w:hAnsi="Times New Roman" w:cs="Times New Roman"/>
          <w:color w:val="000000"/>
          <w:sz w:val="28"/>
          <w:szCs w:val="28"/>
        </w:rPr>
        <w:t xml:space="preserve"> 6.2%</w:t>
      </w:r>
      <w:r>
        <w:rPr>
          <w:lang w:val="hy-AM"/>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the least.</w:t>
      </w:r>
      <w:r>
        <w:rPr>
          <w:lang w:val="hy-AM"/>
          <w:rFonts w:ascii="Times New Roman" w:eastAsia="Times New Roman" w:hAnsi="Times New Roman" w:cs="Times New Roman"/>
          <w:color w:val="000000"/>
          <w:sz w:val="28"/>
          <w:szCs w:val="28"/>
        </w:rPr>
        <w:t xml:space="preserve"> The highest </w:t>
      </w:r>
      <w:r>
        <w:rPr>
          <w:rFonts w:ascii="Times New Roman" w:eastAsia="Times New Roman" w:hAnsi="Times New Roman" w:cs="Times New Roman"/>
          <w:color w:val="000000"/>
          <w:sz w:val="28"/>
          <w:szCs w:val="28"/>
        </w:rPr>
        <w:t xml:space="preserve">number of </w:t>
      </w:r>
      <w:r>
        <w:rPr>
          <w:lang w:val="hy-AM"/>
          <w:rFonts w:ascii="Times New Roman" w:eastAsia="Times New Roman" w:hAnsi="Times New Roman" w:cs="Times New Roman"/>
          <w:color w:val="000000"/>
          <w:sz w:val="28"/>
          <w:szCs w:val="28"/>
        </w:rPr>
        <w:t xml:space="preserve">cases </w:t>
      </w:r>
      <w:r>
        <w:rPr>
          <w:rFonts w:ascii="Times New Roman" w:eastAsia="Times New Roman" w:hAnsi="Times New Roman" w:cs="Times New Roman"/>
          <w:color w:val="000000"/>
          <w:sz w:val="28"/>
          <w:szCs w:val="28"/>
        </w:rPr>
        <w:t xml:space="preserve">266 </w:t>
      </w:r>
      <w:r>
        <w:rPr>
          <w:lang w:val="hy-AM"/>
          <w:rFonts w:ascii="Times New Roman" w:eastAsia="Times New Roman" w:hAnsi="Times New Roman" w:cs="Times New Roman"/>
          <w:color w:val="000000"/>
          <w:sz w:val="28"/>
          <w:szCs w:val="28"/>
        </w:rPr>
        <w:t xml:space="preserve">(47%) was in 2013 and least </w:t>
      </w:r>
      <w:r>
        <w:rPr>
          <w:rFonts w:ascii="Times New Roman" w:eastAsia="Times New Roman" w:hAnsi="Times New Roman" w:cs="Times New Roman"/>
          <w:color w:val="000000"/>
          <w:sz w:val="28"/>
          <w:szCs w:val="28"/>
        </w:rPr>
        <w:t>85</w:t>
      </w:r>
      <w:r>
        <w:rPr>
          <w:lang w:val="hy-AM"/>
          <w:rFonts w:ascii="Times New Roman" w:eastAsia="Times New Roman" w:hAnsi="Times New Roman" w:cs="Times New Roman"/>
          <w:color w:val="000000"/>
          <w:sz w:val="28"/>
          <w:szCs w:val="28"/>
        </w:rPr>
        <w:t>(15%)</w:t>
      </w:r>
      <w:r>
        <w:rPr>
          <w:rFonts w:ascii="Times New Roman" w:eastAsia="Times New Roman" w:hAnsi="Times New Roman" w:cs="Times New Roman"/>
          <w:color w:val="000000"/>
          <w:sz w:val="28"/>
          <w:szCs w:val="28"/>
        </w:rPr>
        <w:t xml:space="preserve"> </w:t>
      </w:r>
      <w:r>
        <w:rPr>
          <w:lang w:val="hy-AM"/>
          <w:rFonts w:ascii="Times New Roman" w:eastAsia="Times New Roman" w:hAnsi="Times New Roman" w:cs="Times New Roman"/>
          <w:color w:val="000000"/>
          <w:sz w:val="28"/>
          <w:szCs w:val="28"/>
        </w:rPr>
        <w:t>in 2014</w:t>
      </w:r>
      <w:r>
        <w:rPr>
          <w:rFonts w:ascii="Times New Roman" w:eastAsia="Times New Roman" w:hAnsi="Times New Roman" w:cs="Times New Roman"/>
          <w:color w:val="000000"/>
          <w:sz w:val="28"/>
          <w:szCs w:val="28"/>
        </w:rPr>
        <w:t xml:space="preserve">. </w:t>
      </w:r>
      <w:r>
        <w:rPr>
          <w:lang w:val="hy-AM"/>
          <w:rFonts w:ascii="Times New Roman" w:eastAsia="Times New Roman" w:hAnsi="Times New Roman" w:cs="Times New Roman"/>
          <w:color w:val="000000"/>
          <w:sz w:val="28"/>
          <w:szCs w:val="28"/>
        </w:rPr>
        <w:t xml:space="preserve">Of </w:t>
      </w:r>
      <w:r>
        <w:rPr>
          <w:rFonts w:ascii="Times New Roman" w:eastAsia="Times New Roman" w:hAnsi="Times New Roman" w:cs="Times New Roman"/>
          <w:color w:val="000000"/>
          <w:sz w:val="28"/>
          <w:szCs w:val="28"/>
        </w:rPr>
        <w:t>all cases,</w:t>
      </w:r>
      <w:r>
        <w:rPr>
          <w:lang w:val="hy-AM"/>
          <w:rFonts w:ascii="Times New Roman" w:eastAsia="Times New Roman" w:hAnsi="Times New Roman" w:cs="Times New Roman"/>
          <w:color w:val="000000"/>
          <w:sz w:val="28"/>
          <w:szCs w:val="28"/>
        </w:rPr>
        <w:t xml:space="preserve"> 133 (23.5%) were confirmed IgM positive for measles, 132(23.3%) were negative w</w:t>
      </w:r>
      <w:r>
        <w:rPr>
          <w:rFonts w:ascii="Times New Roman" w:eastAsia="Times New Roman" w:hAnsi="Times New Roman" w:cs="Times New Roman"/>
          <w:color w:val="000000"/>
          <w:sz w:val="28"/>
          <w:szCs w:val="28"/>
        </w:rPr>
        <w:t xml:space="preserve">hile </w:t>
      </w:r>
      <w:r>
        <w:rPr>
          <w:lang w:val="hy-AM"/>
          <w:rFonts w:ascii="Times New Roman" w:eastAsia="Times New Roman" w:hAnsi="Times New Roman" w:cs="Times New Roman"/>
          <w:color w:val="000000"/>
          <w:sz w:val="28"/>
          <w:szCs w:val="28"/>
        </w:rPr>
        <w:t>288 (50.4%) had no confi</w:t>
      </w:r>
      <w:r>
        <w:rPr>
          <w:rFonts w:ascii="Times New Roman" w:eastAsia="Times New Roman" w:hAnsi="Times New Roman" w:cs="Times New Roman"/>
          <w:color w:val="000000"/>
          <w:sz w:val="28"/>
          <w:szCs w:val="28"/>
        </w:rPr>
        <w:t>r</w:t>
      </w:r>
      <w:r>
        <w:rPr>
          <w:lang w:val="hy-AM"/>
          <w:rFonts w:ascii="Times New Roman" w:eastAsia="Times New Roman" w:hAnsi="Times New Roman" w:cs="Times New Roman"/>
          <w:color w:val="000000"/>
          <w:sz w:val="28"/>
          <w:szCs w:val="28"/>
        </w:rPr>
        <w:t xml:space="preserve">matory results. IgM test for Rubella </w:t>
      </w:r>
      <w:r>
        <w:rPr>
          <w:rFonts w:ascii="Times New Roman" w:eastAsia="Times New Roman" w:hAnsi="Times New Roman" w:cs="Times New Roman"/>
          <w:color w:val="000000"/>
          <w:sz w:val="28"/>
          <w:szCs w:val="28"/>
        </w:rPr>
        <w:t>was</w:t>
      </w:r>
      <w:r>
        <w:rPr>
          <w:lang w:val="hy-AM"/>
          <w:rFonts w:ascii="Times New Roman" w:eastAsia="Times New Roman" w:hAnsi="Times New Roman" w:cs="Times New Roman"/>
          <w:color w:val="000000"/>
          <w:sz w:val="28"/>
          <w:szCs w:val="28"/>
        </w:rPr>
        <w:t xml:space="preserve"> positive </w:t>
      </w:r>
      <w:r>
        <w:rPr>
          <w:rFonts w:ascii="Times New Roman" w:eastAsia="Times New Roman" w:hAnsi="Times New Roman" w:cs="Times New Roman"/>
          <w:color w:val="000000"/>
          <w:sz w:val="28"/>
          <w:szCs w:val="28"/>
        </w:rPr>
        <w:t xml:space="preserve">in </w:t>
      </w:r>
      <w:r>
        <w:rPr>
          <w:lang w:val="hy-AM"/>
          <w:rFonts w:ascii="Times New Roman" w:eastAsia="Times New Roman" w:hAnsi="Times New Roman" w:cs="Times New Roman"/>
          <w:color w:val="000000"/>
          <w:sz w:val="28"/>
          <w:szCs w:val="28"/>
        </w:rPr>
        <w:t>19(3.4%)</w:t>
      </w:r>
      <w:r>
        <w:rPr>
          <w:rFonts w:ascii="Times New Roman" w:eastAsia="Times New Roman" w:hAnsi="Times New Roman" w:cs="Times New Roman"/>
          <w:color w:val="000000"/>
          <w:sz w:val="28"/>
          <w:szCs w:val="28"/>
        </w:rPr>
        <w:t xml:space="preserve"> and </w:t>
      </w:r>
      <w:r>
        <w:rPr>
          <w:lang w:val="hy-AM"/>
          <w:rFonts w:ascii="Times New Roman" w:eastAsia="Times New Roman" w:hAnsi="Times New Roman" w:cs="Times New Roman"/>
          <w:color w:val="000000"/>
          <w:sz w:val="28"/>
          <w:szCs w:val="28"/>
        </w:rPr>
        <w:t>negative</w:t>
      </w:r>
      <w:r>
        <w:rPr>
          <w:rFonts w:ascii="Times New Roman" w:eastAsia="Times New Roman" w:hAnsi="Times New Roman" w:cs="Times New Roman"/>
          <w:color w:val="000000"/>
          <w:sz w:val="28"/>
          <w:szCs w:val="28"/>
        </w:rPr>
        <w:t xml:space="preserve"> in</w:t>
      </w:r>
      <w:r>
        <w:rPr>
          <w:lang w:val="hy-AM"/>
          <w:rFonts w:ascii="Times New Roman" w:eastAsia="Times New Roman" w:hAnsi="Times New Roman" w:cs="Times New Roman"/>
          <w:color w:val="000000"/>
          <w:sz w:val="28"/>
          <w:szCs w:val="28"/>
        </w:rPr>
        <w:t xml:space="preserve"> 67(11.8%).</w:t>
      </w:r>
      <w:r>
        <w:rPr>
          <w:rFonts w:ascii="Times New Roman" w:eastAsia="Times New Roman" w:hAnsi="Times New Roman" w:cs="Times New Roman"/>
          <w:color w:val="000000"/>
          <w:sz w:val="28"/>
          <w:szCs w:val="28"/>
        </w:rPr>
        <w:t xml:space="preserve"> </w:t>
      </w:r>
      <w:r>
        <w:rPr>
          <w:lang w:val="hy-AM"/>
          <w:rFonts w:ascii="Times New Roman" w:eastAsia="Times New Roman" w:hAnsi="Times New Roman" w:cs="Times New Roman"/>
          <w:color w:val="000000"/>
          <w:sz w:val="28"/>
          <w:szCs w:val="28"/>
        </w:rPr>
        <w:t xml:space="preserve">Of the133 confirmed measles cases 90(24.9%) had no </w:t>
      </w:r>
      <w:r>
        <w:rPr>
          <w:rFonts w:ascii="Times New Roman" w:eastAsia="Times New Roman" w:hAnsi="Times New Roman" w:cs="Times New Roman"/>
          <w:color w:val="000000"/>
          <w:sz w:val="28"/>
          <w:szCs w:val="28"/>
        </w:rPr>
        <w:t xml:space="preserve">measles </w:t>
      </w:r>
      <w:r>
        <w:rPr>
          <w:lang w:val="hy-AM"/>
          <w:rFonts w:ascii="Times New Roman" w:eastAsia="Times New Roman" w:hAnsi="Times New Roman" w:cs="Times New Roman"/>
          <w:color w:val="000000"/>
          <w:sz w:val="28"/>
          <w:szCs w:val="28"/>
        </w:rPr>
        <w:t xml:space="preserve">immuniztion, 40(24.5%) had one dose  immunization and three (7.9%) had 2 </w:t>
      </w:r>
      <w:r>
        <w:rPr>
          <w:rFonts w:ascii="Times New Roman" w:eastAsia="Times New Roman" w:hAnsi="Times New Roman" w:cs="Times New Roman"/>
          <w:color w:val="000000"/>
          <w:sz w:val="28"/>
          <w:szCs w:val="28"/>
        </w:rPr>
        <w:t xml:space="preserve">doses.  Children &lt;59 months have higher uptake of measles immunization than more than 59 months, with higher uptake in males than females. </w:t>
      </w:r>
    </w:p>
    <w:p>
      <w:pPr>
        <w:jc w:val="both"/>
        <w:shd w:val="clear" w:color="auto" w:fill="FFFFFF"/>
        <w:spacing w:line="360" w:lineRule="auto"/>
        <w:rPr>
          <w:rFonts w:ascii="Times New Roman" w:eastAsia="Times New Roman" w:hAnsi="Times New Roman" w:cs="Times New Roman"/>
          <w:color w:val="000000"/>
          <w:sz w:val="28"/>
          <w:szCs w:val="28"/>
        </w:rPr>
      </w:pPr>
      <w:r>
        <w:rPr>
          <w:lang w:val="hy-AM"/>
          <w:rFonts w:ascii="Times New Roman" w:eastAsia="Times New Roman" w:hAnsi="Times New Roman" w:cs="Times New Roman"/>
          <w:b/>
          <w:color w:val="000000"/>
          <w:sz w:val="28"/>
          <w:szCs w:val="28"/>
        </w:rPr>
        <w:t>Conclusion</w:t>
      </w:r>
      <w:r>
        <w:rPr>
          <w:lang w:val="hy-AM"/>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Measles immunisation was protective against measles and more efforts should be made to ensure that all children get at least a dose of the vaccine. </w:t>
      </w:r>
    </w:p>
    <w:p>
      <w:pPr>
        <w:jc w:val="both"/>
        <w:shd w:val="clear" w:color="auto" w:fill="FFFFFF"/>
        <w:spacing w:line="360" w:lineRule="auto"/>
        <w:rPr>
          <w:lang w:val="hy-AM"/>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KEYWORDS: Measles, Rubella, Immunisation, IDSR, </w:t>
      </w:r>
      <w:r>
        <w:rPr>
          <w:lang w:val="hy-AM"/>
          <w:rFonts w:ascii="Times New Roman" w:eastAsia="Times New Roman" w:hAnsi="Times New Roman" w:cs="Times New Roman"/>
          <w:color w:val="000000"/>
          <w:sz w:val="28"/>
          <w:szCs w:val="28"/>
        </w:rPr>
        <w:t xml:space="preserve"> </w:t>
      </w:r>
    </w:p>
    <w:p>
      <w:pPr>
        <w:jc w:val="both"/>
        <w:shd w:val="clear" w:color="auto" w:fill="FFFFFF"/>
        <w:spacing w:line="360" w:lineRule="auto"/>
        <w:rPr>
          <w:lang w:val="hy-AM"/>
          <w:rFonts w:ascii="Times New Roman" w:eastAsia="Times New Roman" w:hAnsi="Times New Roman" w:cs="Times New Roman"/>
          <w:b/>
          <w:color w:val="000000"/>
          <w:sz w:val="28"/>
          <w:szCs w:val="28"/>
        </w:rPr>
      </w:pPr>
    </w:p>
    <w:sectPr>
      <w:pgSz w:w="12240" w:h="15840"/>
      <w:pgMar w:top="1440" w:right="1440" w:bottom="142" w:left="1440" w:header="708" w:footer="708" w:gutter="0"/>
      <w:cols w:space="708"/>
      <w:docGrid w:linePitch="360"/>
      <w:footerReference w:type="default" r:id="rId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w:font w:name="Sylfaen">
    <w:panose1 w:val="010A0502050306030303"/>
    <w:family w:val="roman"/>
    <w:charset w:val="00"/>
    <w:notTrueType w:val="true"/>
    <w:sig w:usb0="04000687" w:usb1="00000001" w:usb2="00000001" w:usb3="00000001" w:csb0="2000009F" w:csb1="00000001"/>
  </w:font>
  <w:font w:name="Times New Roman">
    <w:panose1 w:val="02020603050405020304"/>
    <w:family w:val="roman"/>
    <w:charset w:val="00"/>
    <w:notTrueType w:val="true"/>
    <w:sig w:usb0="E0002AFF" w:usb1="C0007841" w:usb2="00000009" w:usb3="00000001" w:csb0="400001FF" w:csb1="FFFF0000"/>
  </w:font>
  <w:font w:name="Segoe UI">
    <w:panose1 w:val="020B0502040204020203"/>
    <w:family w:val="swiss"/>
    <w:charset w:val="00"/>
    <w:notTrueType w:val="true"/>
    <w:sig w:usb0="E10022FF" w:usb1="C000E47F" w:usb2="00000029" w:usb3="00000001" w:csb0="200001DF" w:csb1="2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rPr>
        <w:lang w:val="hy-AM"/>
        <w:rFonts w:ascii="Sylfaen" w:hAnsi="Sylfaen"/>
      </w:rPr>
    </w:pPr>
    <w:r>
      <w:rPr>
        <w:lang w:val="hy-AM"/>
        <w:rFonts w:ascii="Sylfaen" w:hAnsi="Sylfaen"/>
      </w:rPr>
      <w:t>`</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w:zoom w:percent="100"/>
  <w:removePersonalInformation/>
  <w:hideGrammaticalErrors/>
  <w:proofState w:spelling="clean" w:grammar="clean"/>
  <w:defaultTabStop w:val="720"/>
  <w:displayHorizontalDrawingGridEvery w:val="1"/>
  <w:displayVerticalDrawingGridEvery w:val="1"/>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val="1"/>
    <m:lMargin m:val="0"/>
    <m:rMargin m:val="0"/>
    <m:defJc m:val="centerGroup"/>
    <m:wrapIndent m:val="1440"/>
    <m:wrapRight m:val="0"/>
    <m:intLim m:val="subSup"/>
    <m:naryLim m:val="undOvr"/>
    <m:interSp m:val="0"/>
    <m:intraSp m:val="0"/>
    <m:preSp m:val="0"/>
    <m:postSp m:val="0"/>
  </m:mathPr>
  <w:themeFontLang w:val="en-US" w:eastAsia="ko-KR" w:bidi="ar-SA"/>
</w:settings>
</file>

<file path=word/styles.xml><?xml version="1.0" encoding="utf-8"?>
<w:styles xmlns:r="http://schemas.openxmlformats.org/officeDocument/2006/relationships" xmlns:w="http://schemas.openxmlformats.org/wordprocessingml/2006/main">
  <w:docDefaults>
    <w:rPrDefault>
      <w:rPr>
        <w:lang w:val="en-US" w:eastAsia="en-US" w:bidi="ar-SA"/>
        <w:rFonts w:asciiTheme="minorHAnsi" w:eastAsiaTheme="minorHAnsi" w:hAnsiTheme="minorHAnsi" w:cstheme="minorBidi"/>
        <w:sz w:val="22"/>
        <w:szCs w:val="22"/>
      </w:rPr>
    </w:rPrDefault>
    <w:pPrDefault>
      <w:pPr>
        <w:spacing w:after="200" w:line="276" w:lineRule="auto"/>
      </w:pPr>
    </w:pPrDefault>
  </w:docDefaults>
  <w:style w:type="paragraph" w:default="1" w:styleId="normal">
    <w:name w:val="Normal"/>
    <w:qFormat/>
  </w:style>
  <w:style w:type="character" w:default="1" w:styleId="defaultParagraphFont">
    <w:name w:val="Default Paragraph Font"/>
    <w:semiHidden/>
  </w:style>
  <w:style w:type="table" w:default="1" w:styleId="TableNormal">
    <w:name w:val="Normal Table"/>
    <w:qFormat/>
    <w:semiHidden/>
    <w:tblPr>
      <w:tblInd w:w="0" w:type="dxa"/>
      <w:tblCellMar>
        <w:top w:w="0" w:type="dxa"/>
        <w:left w:w="108" w:type="dxa"/>
        <w:bottom w:w="0" w:type="dxa"/>
        <w:right w:w="108" w:type="dxa"/>
      </w:tblCellMar>
    </w:tblPr>
  </w:style>
  <w:style w:type="numbering" w:default="1" w:styleId="NoList">
    <w:name w:val="No List"/>
    <w:semiHidden/>
  </w:style>
  <w:style w:type="paragraph" w:styleId="Footer">
    <w:name w:val="footer"/>
    <w:basedOn w:val="normal"/>
    <w:link w:val="FooterChar"/>
    <w:semiHidden/>
    <w:pPr>
      <w:tabs>
        <w:tab w:val="center" w:pos="4680"/>
        <w:tab w:val="right" w:pos="9360"/>
      </w:tabs>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1" Type="http://schemas.openxmlformats.org/officeDocument/2006/relationships/footer" Target="footer1.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fontTable" Target="fontTable.xml" /><Relationship Id="rId5" Type="http://schemas.openxmlformats.org/officeDocument/2006/relationships/webSettings" Target="webSettings.xml" /><Relationship Id="rId6"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lastClr="000000" val="windowText"/>
      </a:dk1>
      <a:lt1>
        <a:sysClr lastClr="FFFFFF" val="window"/>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a:solidFill>
            <a:schemeClr val="phClr">
              <a:shade val="95000"/>
              <a:satMod val="104999"/>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ThinkFree Mobile Write</Application>
  <Company>thinkfree</Company>
  <SharedDoc>false</SharedDoc>
  <HyperlinksChanged>false</HyperlinksChanged>
  <AppVersion>04.2000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ifeyinwaaremo</cp:lastModifiedBy>
  <cp:revision>1</cp:revision>
  <dcterms:created xsi:type="dcterms:W3CDTF">2017-06-20T08:44:00Z</dcterms:created>
  <dcterms:modified xsi:type="dcterms:W3CDTF">2017-07-31T12:44:14Z</dcterms:modified>
</cp:coreProperties>
</file>