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Normal.0"/>
        <w:jc w:val="center"/>
        <w:rPr>
          <w:rFonts w:ascii="Times New Roman" w:cs="Times New Roman" w:hAnsi="Times New Roman" w:eastAsia="Times New Roman"/>
          <w:b w:val="1"/>
          <w:bCs w:val="1"/>
          <w:sz w:val="24"/>
          <w:szCs w:val="24"/>
          <w:lang w:val="en-US"/>
        </w:rPr>
      </w:pPr>
      <w:r>
        <w:rPr>
          <w:rFonts w:ascii="Times New Roman" w:hAnsi="Times New Roman"/>
          <w:b w:val="1"/>
          <w:bCs w:val="1"/>
          <w:sz w:val="24"/>
          <w:szCs w:val="24"/>
          <w:rtl w:val="0"/>
          <w:lang w:val="en-US"/>
        </w:rPr>
        <w:t xml:space="preserve">CORRECTION OF THE MICROELEMENTHOSES IN CATTLE </w:t>
      </w:r>
    </w:p>
    <w:p>
      <w:pPr>
        <w:pStyle w:val="Plain Text"/>
        <w:jc w:val="center"/>
        <w:rPr>
          <w:rFonts w:ascii="Times New Roman" w:cs="Times New Roman" w:hAnsi="Times New Roman" w:eastAsia="Times New Roman"/>
          <w:caps w:val="1"/>
          <w:sz w:val="24"/>
          <w:szCs w:val="24"/>
          <w:vertAlign w:val="superscript"/>
          <w:lang w:val="en-US"/>
        </w:rPr>
      </w:pPr>
      <w:r>
        <w:rPr>
          <w:rFonts w:ascii="Times New Roman" w:hAnsi="Times New Roman"/>
          <w:sz w:val="24"/>
          <w:szCs w:val="24"/>
          <w:rtl w:val="0"/>
          <w:lang w:val="en-US"/>
        </w:rPr>
        <w:t xml:space="preserve">Dr. </w:t>
      </w:r>
      <w:r>
        <w:rPr>
          <w:rFonts w:ascii="Times New Roman" w:hAnsi="Times New Roman"/>
          <w:caps w:val="1"/>
          <w:sz w:val="24"/>
          <w:szCs w:val="24"/>
          <w:rtl w:val="0"/>
          <w:lang w:val="en-US"/>
        </w:rPr>
        <w:t xml:space="preserve"> VLADIMIR SAFONOV</w:t>
      </w:r>
      <w:r>
        <w:rPr>
          <w:rFonts w:ascii="Times New Roman" w:hAnsi="Times New Roman"/>
          <w:caps w:val="1"/>
          <w:sz w:val="24"/>
          <w:szCs w:val="24"/>
          <w:vertAlign w:val="superscript"/>
          <w:rtl w:val="0"/>
          <w:lang w:val="en-US"/>
        </w:rPr>
        <w:t xml:space="preserve">1 </w:t>
      </w:r>
      <w:r>
        <w:rPr>
          <w:rFonts w:ascii="Times New Roman" w:hAnsi="Times New Roman"/>
          <w:caps w:val="1"/>
          <w:sz w:val="24"/>
          <w:szCs w:val="24"/>
          <w:rtl w:val="0"/>
          <w:lang w:val="en-US"/>
        </w:rPr>
        <w:t>, P</w:t>
      </w:r>
      <w:r>
        <w:rPr>
          <w:rFonts w:ascii="Times New Roman" w:hAnsi="Times New Roman"/>
          <w:sz w:val="24"/>
          <w:szCs w:val="24"/>
          <w:rtl w:val="0"/>
          <w:lang w:val="en-US"/>
        </w:rPr>
        <w:t>rof</w:t>
      </w:r>
      <w:r>
        <w:rPr>
          <w:rFonts w:ascii="Times New Roman" w:hAnsi="Times New Roman"/>
          <w:caps w:val="1"/>
          <w:sz w:val="24"/>
          <w:szCs w:val="24"/>
          <w:rtl w:val="0"/>
          <w:lang w:val="en-US"/>
        </w:rPr>
        <w:t>. D</w:t>
      </w:r>
      <w:r>
        <w:rPr>
          <w:rFonts w:ascii="Times New Roman" w:hAnsi="Times New Roman"/>
          <w:sz w:val="24"/>
          <w:szCs w:val="24"/>
          <w:rtl w:val="0"/>
          <w:lang w:val="en-US"/>
        </w:rPr>
        <w:t>r</w:t>
      </w:r>
      <w:r>
        <w:rPr>
          <w:rFonts w:ascii="Times New Roman" w:hAnsi="Times New Roman"/>
          <w:caps w:val="1"/>
          <w:sz w:val="24"/>
          <w:szCs w:val="24"/>
          <w:rtl w:val="0"/>
          <w:lang w:val="en-US"/>
        </w:rPr>
        <w:t>. VADIM ERMAKOV</w:t>
      </w:r>
      <w:r>
        <w:rPr>
          <w:rFonts w:ascii="Times New Roman" w:hAnsi="Times New Roman"/>
          <w:caps w:val="1"/>
          <w:sz w:val="24"/>
          <w:szCs w:val="24"/>
          <w:vertAlign w:val="superscript"/>
          <w:rtl w:val="0"/>
          <w:lang w:val="en-US"/>
        </w:rPr>
        <w:t>1</w:t>
      </w:r>
      <w:r>
        <w:rPr>
          <w:rFonts w:ascii="Times New Roman" w:hAnsi="Times New Roman"/>
          <w:caps w:val="1"/>
          <w:sz w:val="24"/>
          <w:szCs w:val="24"/>
          <w:rtl w:val="0"/>
          <w:lang w:val="en-US"/>
        </w:rPr>
        <w:t>, P</w:t>
      </w:r>
      <w:r>
        <w:rPr>
          <w:rFonts w:ascii="Times New Roman" w:hAnsi="Times New Roman"/>
          <w:sz w:val="24"/>
          <w:szCs w:val="24"/>
          <w:rtl w:val="0"/>
          <w:lang w:val="en-US"/>
        </w:rPr>
        <w:t>rof</w:t>
      </w:r>
      <w:r>
        <w:rPr>
          <w:rFonts w:ascii="Times New Roman" w:hAnsi="Times New Roman"/>
          <w:caps w:val="1"/>
          <w:sz w:val="24"/>
          <w:szCs w:val="24"/>
          <w:rtl w:val="0"/>
          <w:lang w:val="en-US"/>
        </w:rPr>
        <w:t>. D</w:t>
      </w:r>
      <w:r>
        <w:rPr>
          <w:rFonts w:ascii="Times New Roman" w:hAnsi="Times New Roman"/>
          <w:sz w:val="24"/>
          <w:szCs w:val="24"/>
          <w:rtl w:val="0"/>
          <w:lang w:val="en-US"/>
        </w:rPr>
        <w:t>r</w:t>
      </w:r>
      <w:r>
        <w:rPr>
          <w:rFonts w:ascii="Times New Roman" w:hAnsi="Times New Roman"/>
          <w:caps w:val="1"/>
          <w:sz w:val="24"/>
          <w:szCs w:val="24"/>
          <w:rtl w:val="0"/>
          <w:lang w:val="en-US"/>
        </w:rPr>
        <w:t>. Vladimir VOROBIEV</w:t>
      </w:r>
      <w:r>
        <w:rPr>
          <w:rFonts w:ascii="Times New Roman" w:hAnsi="Times New Roman"/>
          <w:caps w:val="1"/>
          <w:sz w:val="24"/>
          <w:szCs w:val="24"/>
          <w:vertAlign w:val="superscript"/>
          <w:rtl w:val="0"/>
          <w:lang w:val="en-US"/>
        </w:rPr>
        <w:t>2</w:t>
      </w:r>
    </w:p>
    <w:p>
      <w:pPr>
        <w:pStyle w:val="Normal.0"/>
        <w:spacing w:after="0" w:line="240" w:lineRule="auto"/>
        <w:jc w:val="center"/>
        <w:rPr>
          <w:rFonts w:ascii="Times New Roman" w:cs="Times New Roman" w:hAnsi="Times New Roman" w:eastAsia="Times New Roman"/>
          <w:sz w:val="24"/>
          <w:szCs w:val="24"/>
          <w:lang w:val="en-US"/>
        </w:rPr>
      </w:pPr>
    </w:p>
    <w:p>
      <w:pPr>
        <w:pStyle w:val="Normal.0"/>
        <w:spacing w:after="0" w:line="240" w:lineRule="auto"/>
        <w:jc w:val="center"/>
        <w:rPr>
          <w:rFonts w:ascii="Times New Roman" w:cs="Times New Roman" w:hAnsi="Times New Roman" w:eastAsia="Times New Roman"/>
          <w:i w:val="1"/>
          <w:iCs w:val="1"/>
          <w:sz w:val="24"/>
          <w:szCs w:val="24"/>
          <w:lang w:val="en-US"/>
        </w:rPr>
      </w:pPr>
      <w:r>
        <w:rPr>
          <w:rFonts w:ascii="Times New Roman" w:hAnsi="Times New Roman"/>
          <w:i w:val="1"/>
          <w:iCs w:val="1"/>
          <w:sz w:val="24"/>
          <w:szCs w:val="24"/>
          <w:vertAlign w:val="superscript"/>
          <w:rtl w:val="0"/>
          <w:lang w:val="en-US"/>
        </w:rPr>
        <w:t>1</w:t>
      </w:r>
      <w:r>
        <w:rPr>
          <w:rFonts w:ascii="Times New Roman" w:hAnsi="Times New Roman"/>
          <w:i w:val="1"/>
          <w:iCs w:val="1"/>
          <w:sz w:val="24"/>
          <w:szCs w:val="24"/>
          <w:rtl w:val="0"/>
          <w:lang w:val="en-US"/>
        </w:rPr>
        <w:t xml:space="preserve">Vernadsky V.I. Institute of geochemistry and analytical chemistry of the Russian </w:t>
      </w:r>
    </w:p>
    <w:p>
      <w:pPr>
        <w:pStyle w:val="Normal.0"/>
        <w:spacing w:after="0" w:line="240" w:lineRule="auto"/>
        <w:jc w:val="center"/>
        <w:rPr>
          <w:rFonts w:ascii="Times New Roman" w:cs="Times New Roman" w:hAnsi="Times New Roman" w:eastAsia="Times New Roman"/>
          <w:i w:val="1"/>
          <w:iCs w:val="1"/>
          <w:sz w:val="24"/>
          <w:szCs w:val="24"/>
          <w:lang w:val="en-US"/>
        </w:rPr>
      </w:pPr>
      <w:r>
        <w:rPr>
          <w:rFonts w:ascii="Times New Roman" w:hAnsi="Times New Roman"/>
          <w:i w:val="1"/>
          <w:iCs w:val="1"/>
          <w:sz w:val="24"/>
          <w:szCs w:val="24"/>
          <w:rtl w:val="0"/>
          <w:lang w:val="en-US"/>
        </w:rPr>
        <w:t>Academy of Sciences,</w:t>
      </w:r>
      <w:r>
        <w:rPr>
          <w:rFonts w:ascii="Times New Roman" w:hAnsi="Times New Roman"/>
          <w:i w:val="1"/>
          <w:iCs w:val="1"/>
          <w:color w:val="000000"/>
          <w:sz w:val="24"/>
          <w:szCs w:val="24"/>
          <w:u w:color="000000"/>
          <w:rtl w:val="0"/>
          <w:lang w:val="en-US"/>
        </w:rPr>
        <w:t xml:space="preserve"> Moscow, Russia;</w:t>
      </w:r>
      <w:r>
        <w:rPr>
          <w:rFonts w:ascii="Times New Roman" w:hAnsi="Times New Roman"/>
          <w:i w:val="1"/>
          <w:iCs w:val="1"/>
          <w:color w:val="000000"/>
          <w:sz w:val="24"/>
          <w:szCs w:val="24"/>
          <w:u w:color="000000"/>
          <w:vertAlign w:val="superscript"/>
          <w:rtl w:val="0"/>
          <w:lang w:val="en-US"/>
        </w:rPr>
        <w:t>2</w:t>
      </w:r>
      <w:r>
        <w:rPr>
          <w:rFonts w:ascii="Times New Roman" w:hAnsi="Times New Roman"/>
          <w:i w:val="1"/>
          <w:iCs w:val="1"/>
          <w:color w:val="000000"/>
          <w:sz w:val="24"/>
          <w:szCs w:val="24"/>
          <w:u w:color="000000"/>
          <w:rtl w:val="0"/>
          <w:lang w:val="en-US"/>
        </w:rPr>
        <w:t>Astrakhan State University, Russia</w:t>
      </w:r>
    </w:p>
    <w:p>
      <w:pPr>
        <w:pStyle w:val="Normal.0"/>
        <w:spacing w:after="0" w:line="360" w:lineRule="auto"/>
        <w:jc w:val="both"/>
        <w:rPr>
          <w:rFonts w:ascii="Times New Roman" w:cs="Times New Roman" w:hAnsi="Times New Roman" w:eastAsia="Times New Roman"/>
          <w:i w:val="1"/>
          <w:iCs w:val="1"/>
          <w:sz w:val="24"/>
          <w:szCs w:val="24"/>
          <w:lang w:val="en-US"/>
        </w:rPr>
      </w:pPr>
    </w:p>
    <w:p>
      <w:pPr>
        <w:pStyle w:val="Normal.0"/>
        <w:spacing w:after="0" w:line="360" w:lineRule="auto"/>
        <w:jc w:val="both"/>
        <w:rPr>
          <w:rFonts w:ascii="Times New Roman" w:cs="Times New Roman" w:hAnsi="Times New Roman" w:eastAsia="Times New Roman"/>
          <w:i w:val="1"/>
          <w:iCs w:val="1"/>
          <w:sz w:val="24"/>
          <w:szCs w:val="24"/>
          <w:lang w:val="en-US"/>
        </w:rPr>
      </w:pPr>
      <w:r>
        <w:rPr>
          <w:rFonts w:ascii="Times New Roman" w:hAnsi="Times New Roman"/>
          <w:sz w:val="24"/>
          <w:szCs w:val="24"/>
          <w:rtl w:val="0"/>
          <w:lang w:val="en-US"/>
        </w:rPr>
        <w:t>High productivity of animals of different breeds capable of high coefficient to transform the nutrients in feed into protein, fat and other organic substances in the organism with low feed cost per unit of output, due to intensive course of metabolic processes in their organs and tissues, and the intense functional activity of all organs and systems.</w:t>
      </w:r>
    </w:p>
    <w:p>
      <w:pPr>
        <w:pStyle w:val="Normal.0"/>
        <w:spacing w:after="0" w:line="360" w:lineRule="auto"/>
        <w:jc w:val="both"/>
        <w:rPr>
          <w:rFonts w:ascii="Times New Roman" w:cs="Times New Roman" w:hAnsi="Times New Roman" w:eastAsia="Times New Roman"/>
          <w:sz w:val="24"/>
          <w:szCs w:val="24"/>
          <w:lang w:val="en-US"/>
        </w:rPr>
      </w:pPr>
      <w:r>
        <w:rPr>
          <w:rFonts w:ascii="Times New Roman" w:hAnsi="Times New Roman"/>
          <w:sz w:val="24"/>
          <w:szCs w:val="24"/>
          <w:rtl w:val="0"/>
          <w:lang w:val="en-US"/>
        </w:rPr>
        <w:t>The decrease in total non-specific resistance and immunobiological reactivity as a result of metabolic disorders severely limit the adaptive properties of the organism to resist a biological (microbes, viruses, etc.) and abiotic (xenobiotics) factors, which in recent years intensively accumulate and concentrate in the external environment. For this reason, the animals rom farms increased the incidence of not only infectious but also non-communicable diseases in the result of layering various toxicoses caused by fungi, salts of heavy metals, pesticides and other substances.</w:t>
      </w:r>
    </w:p>
    <w:p>
      <w:pPr>
        <w:pStyle w:val="Normal.0"/>
        <w:spacing w:after="0" w:line="360" w:lineRule="auto"/>
        <w:jc w:val="both"/>
        <w:rPr>
          <w:rFonts w:ascii="Times New Roman" w:cs="Times New Roman" w:hAnsi="Times New Roman" w:eastAsia="Times New Roman"/>
          <w:sz w:val="24"/>
          <w:szCs w:val="24"/>
          <w:lang w:val="en-US"/>
        </w:rPr>
      </w:pPr>
      <w:r>
        <w:rPr>
          <w:rFonts w:ascii="Times New Roman" w:hAnsi="Times New Roman"/>
          <w:sz w:val="24"/>
          <w:szCs w:val="24"/>
          <w:rtl w:val="0"/>
          <w:lang w:val="en-US"/>
        </w:rPr>
        <w:t>Therefore, in a multilevel system of regulation of reproductive function in animals and the mechanisms of the development of obstetrical and gynecological pathologies, along with the endocrine system, play an important role in the processes of free radical oxidation and the functional status of the antioxidant defense system and nitric oxide, which is largely dependent on the trace element status of animals. The deficiency of iodine and selenium is one of the reasons for the imbalance in the antioxidant protection system and metabolism, both in terms of hyposelenium biogeochemical provinces, and in the context of a normal geochemical environment, in connection with the increased requirements of the organism due to elevated metabolism. As a consequence, this leads to a predisposition to multiple diseases, infertility and thyroid dysfunction. An important role in antioxidant regulation of animals are not only compounds of iodine and selenium and other trace elements (iron, copper, manganese, cobalt, zinc, molybdenum etc).</w:t>
      </w:r>
    </w:p>
    <w:p>
      <w:pPr>
        <w:pStyle w:val="heading 1"/>
        <w:spacing w:before="0" w:line="240" w:lineRule="auto"/>
        <w:jc w:val="both"/>
        <w:rPr>
          <w:rFonts w:ascii="Times New Roman" w:cs="Times New Roman" w:hAnsi="Times New Roman" w:eastAsia="Times New Roman"/>
          <w:color w:val="000000"/>
          <w:sz w:val="24"/>
          <w:szCs w:val="24"/>
          <w:u w:color="000000"/>
          <w:lang w:val="en-US"/>
        </w:rPr>
      </w:pPr>
    </w:p>
    <w:p>
      <w:pPr>
        <w:pStyle w:val="heading 1"/>
        <w:spacing w:before="0" w:line="240" w:lineRule="auto"/>
        <w:jc w:val="both"/>
        <w:rPr>
          <w:rFonts w:ascii="Cambria" w:cs="Cambria" w:hAnsi="Cambria" w:eastAsia="Cambria"/>
          <w:b w:val="0"/>
          <w:bCs w:val="0"/>
          <w:color w:val="000000"/>
          <w:sz w:val="24"/>
          <w:szCs w:val="24"/>
          <w:u w:color="000000"/>
          <w:lang w:val="en-US"/>
        </w:rPr>
      </w:pPr>
      <w:r>
        <w:rPr>
          <w:color w:val="000000"/>
          <w:sz w:val="24"/>
          <w:szCs w:val="24"/>
          <w:u w:color="000000"/>
          <w:rtl w:val="0"/>
          <w:lang w:val="en-US"/>
        </w:rPr>
        <w:t>Keywords:</w:t>
      </w:r>
      <w:r>
        <w:rPr>
          <w:rFonts w:ascii="Cambria" w:cs="Cambria" w:hAnsi="Cambria" w:eastAsia="Cambria"/>
          <w:b w:val="0"/>
          <w:bCs w:val="0"/>
          <w:color w:val="000000"/>
          <w:sz w:val="24"/>
          <w:szCs w:val="24"/>
          <w:u w:color="000000"/>
          <w:rtl w:val="0"/>
          <w:lang w:val="en-US"/>
        </w:rPr>
        <w:t xml:space="preserve"> iodine, animals, cattle, microelementhoses, selenium</w:t>
      </w:r>
    </w:p>
    <w:sectPr>
      <w:headerReference w:type="default" r:id="rId4"/>
      <w:footerReference w:type="default" r:id="rId5"/>
      <w:pgSz w:w="11900" w:h="16840" w:orient="portrait"/>
      <w:pgMar w:top="1134" w:right="850" w:bottom="1134" w:left="1701"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Courier New">
    <w:charset w:val="00"/>
    <w:family w:val="roman"/>
    <w:pitch w:val="default"/>
  </w:font>
  <w:font w:name="Cambr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Колонтитулы"/>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Колонтитулы"/>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08"/>
  <w:autoHyphenation w:val="1"/>
  <w:evenAndOddHeaders w:val="0"/>
  <w:bookFoldPrinting w:val="0"/>
  <w:noLineBreaksAfter w:lang="русский" w:val="‘“(〔[{〈《「『【⦅〘〖«〝︵︷︹︻︽︿﹁﹃﹇﹙﹛﹝｢"/>
  <w:noLineBreaksBefore w:lang="русский"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Колонтитулы">
    <w:name w:val="Колонтитулы"/>
    <w:next w:val="Колонтитулы"/>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Normal.0">
    <w:name w:val="Normal"/>
    <w:next w:val="Normal.0"/>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ru-RU"/>
    </w:rPr>
  </w:style>
  <w:style w:type="paragraph" w:styleId="Plain Text">
    <w:name w:val="Plain Text"/>
    <w:next w:val="Plain Tex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ourier New" w:cs="Arial Unicode MS" w:hAnsi="Courier New"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ru-RU"/>
    </w:rPr>
  </w:style>
  <w:style w:type="paragraph" w:styleId="heading 1">
    <w:name w:val="heading 1"/>
    <w:next w:val="Normal.0"/>
    <w:pPr>
      <w:keepNext w:val="1"/>
      <w:keepLines w:val="1"/>
      <w:pageBreakBefore w:val="0"/>
      <w:widowControl w:val="1"/>
      <w:shd w:val="clear" w:color="auto" w:fill="auto"/>
      <w:suppressAutoHyphens w:val="0"/>
      <w:bidi w:val="0"/>
      <w:spacing w:before="480" w:after="0" w:line="276" w:lineRule="auto"/>
      <w:ind w:left="0" w:right="0" w:firstLine="0"/>
      <w:jc w:val="left"/>
      <w:outlineLvl w:val="0"/>
    </w:pPr>
    <w:rPr>
      <w:rFonts w:ascii="Cambria" w:cs="Cambria" w:hAnsi="Cambria" w:eastAsia="Cambria"/>
      <w:b w:val="1"/>
      <w:bCs w:val="1"/>
      <w:i w:val="0"/>
      <w:iCs w:val="0"/>
      <w:caps w:val="0"/>
      <w:smallCaps w:val="0"/>
      <w:strike w:val="0"/>
      <w:dstrike w:val="0"/>
      <w:outline w:val="0"/>
      <w:color w:val="365f91"/>
      <w:spacing w:val="0"/>
      <w:kern w:val="0"/>
      <w:position w:val="0"/>
      <w:sz w:val="28"/>
      <w:szCs w:val="28"/>
      <w:u w:val="none" w:color="365f91"/>
      <w:vertAlign w:val="baseline"/>
      <w:lang w:val="ru-RU"/>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Тема Office">
  <a:themeElements>
    <a:clrScheme name="Тема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Тема Office">
      <a:majorFont>
        <a:latin typeface="Helvetica Neue"/>
        <a:ea typeface="Helvetica Neue"/>
        <a:cs typeface="Helvetica Neue"/>
      </a:majorFont>
      <a:minorFont>
        <a:latin typeface="Helvetica Neue"/>
        <a:ea typeface="Helvetica Neue"/>
        <a:cs typeface="Helvetica Neue"/>
      </a:minorFont>
    </a:fontScheme>
    <a:fmtScheme name="Тема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