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A2026" w14:textId="735066D3" w:rsidR="00451908" w:rsidRPr="00765F1D" w:rsidRDefault="00451908" w:rsidP="00451908">
      <w:pPr>
        <w:rPr>
          <w:b/>
        </w:rPr>
      </w:pPr>
      <w:r w:rsidRPr="00451908">
        <w:rPr>
          <w:rFonts w:ascii="Minion Pro" w:eastAsia="Minion Pro" w:hAnsi="Minion Pro" w:cs="Minion Pro"/>
          <w:b/>
          <w:bCs/>
          <w:color w:val="337AB7"/>
          <w:sz w:val="36"/>
          <w:szCs w:val="36"/>
        </w:rPr>
        <w:t>Clinical monitoring of bovine babesiosis in calves</w:t>
      </w:r>
    </w:p>
    <w:p w14:paraId="2F0B30A9" w14:textId="0DEF477B" w:rsidR="00C8315A" w:rsidRPr="00A50B9E" w:rsidRDefault="00451908" w:rsidP="00C8315A">
      <w:pPr>
        <w:pStyle w:val="Default"/>
        <w:rPr>
          <w:rFonts w:ascii="Arial"/>
          <w:sz w:val="18"/>
          <w:szCs w:val="18"/>
        </w:rPr>
      </w:pPr>
      <w:r>
        <w:rPr>
          <w:rFonts w:ascii="Arial"/>
          <w:sz w:val="18"/>
          <w:szCs w:val="18"/>
        </w:rPr>
        <w:t>Jul</w:t>
      </w:r>
      <w:r w:rsidR="00C8315A" w:rsidRPr="00A50B9E">
        <w:rPr>
          <w:rFonts w:ascii="Arial"/>
          <w:sz w:val="18"/>
          <w:szCs w:val="18"/>
        </w:rPr>
        <w:t xml:space="preserve">io V. Figueroa, </w:t>
      </w:r>
      <w:r>
        <w:rPr>
          <w:rFonts w:ascii="Arial"/>
          <w:sz w:val="18"/>
          <w:szCs w:val="18"/>
        </w:rPr>
        <w:t xml:space="preserve">Rebeca M. Santamaria, </w:t>
      </w:r>
      <w:proofErr w:type="spellStart"/>
      <w:r>
        <w:rPr>
          <w:rFonts w:ascii="Arial"/>
          <w:sz w:val="18"/>
          <w:szCs w:val="18"/>
        </w:rPr>
        <w:t>J</w:t>
      </w:r>
      <w:r w:rsidR="00C8315A" w:rsidRPr="00A50B9E">
        <w:rPr>
          <w:rFonts w:ascii="Arial"/>
          <w:sz w:val="18"/>
          <w:szCs w:val="18"/>
        </w:rPr>
        <w:t>ose</w:t>
      </w:r>
      <w:proofErr w:type="spellEnd"/>
      <w:r w:rsidR="00C8315A" w:rsidRPr="00A50B9E">
        <w:rPr>
          <w:rFonts w:ascii="Arial"/>
          <w:sz w:val="18"/>
          <w:szCs w:val="18"/>
        </w:rPr>
        <w:t xml:space="preserve"> J. Lira, Carmen Rojas, J. Antonio Alvarez.</w:t>
      </w:r>
    </w:p>
    <w:p w14:paraId="5B56A10E" w14:textId="49B6082C" w:rsidR="00C8315A" w:rsidRPr="00A50B9E" w:rsidRDefault="00C8315A" w:rsidP="00C8315A">
      <w:pPr>
        <w:rPr>
          <w:rFonts w:ascii="Arial" w:eastAsia="Calibri" w:hAnsi="Trebuchet MS" w:cs="Trebuchet MS"/>
          <w:color w:val="000000"/>
          <w:sz w:val="18"/>
          <w:szCs w:val="18"/>
        </w:rPr>
      </w:pPr>
      <w:r w:rsidRPr="00A50B9E">
        <w:rPr>
          <w:rFonts w:ascii="Arial" w:eastAsia="Calibri" w:hAnsi="Trebuchet MS" w:cs="Trebuchet MS"/>
          <w:color w:val="000000"/>
          <w:sz w:val="18"/>
          <w:szCs w:val="18"/>
        </w:rPr>
        <w:t xml:space="preserve">National Research Center for </w:t>
      </w:r>
      <w:r w:rsidR="00451908">
        <w:rPr>
          <w:rFonts w:ascii="Arial" w:eastAsia="Calibri" w:hAnsi="Trebuchet MS" w:cs="Trebuchet MS"/>
          <w:color w:val="000000"/>
          <w:sz w:val="18"/>
          <w:szCs w:val="18"/>
        </w:rPr>
        <w:t>Animal Health and Safety</w:t>
      </w:r>
      <w:r w:rsidR="00A33F86">
        <w:rPr>
          <w:rFonts w:ascii="Arial" w:eastAsia="Calibri" w:hAnsi="Trebuchet MS" w:cs="Trebuchet MS"/>
          <w:color w:val="000000"/>
          <w:sz w:val="18"/>
          <w:szCs w:val="18"/>
        </w:rPr>
        <w:t xml:space="preserve"> (CENID-SAI)</w:t>
      </w:r>
      <w:r w:rsidRPr="00A50B9E">
        <w:rPr>
          <w:rFonts w:ascii="Arial" w:eastAsia="Calibri" w:hAnsi="Trebuchet MS" w:cs="Trebuchet MS"/>
          <w:color w:val="000000"/>
          <w:sz w:val="18"/>
          <w:szCs w:val="18"/>
        </w:rPr>
        <w:t xml:space="preserve">, INIFAP, </w:t>
      </w:r>
      <w:proofErr w:type="spellStart"/>
      <w:r w:rsidRPr="00A50B9E">
        <w:rPr>
          <w:rFonts w:ascii="Arial" w:eastAsia="Calibri" w:hAnsi="Trebuchet MS" w:cs="Trebuchet MS"/>
          <w:color w:val="000000"/>
          <w:sz w:val="18"/>
          <w:szCs w:val="18"/>
        </w:rPr>
        <w:t>Jiutepec</w:t>
      </w:r>
      <w:proofErr w:type="spellEnd"/>
      <w:r w:rsidRPr="00A50B9E">
        <w:rPr>
          <w:rFonts w:ascii="Arial" w:eastAsia="Calibri" w:hAnsi="Trebuchet MS" w:cs="Trebuchet MS"/>
          <w:color w:val="000000"/>
          <w:sz w:val="18"/>
          <w:szCs w:val="18"/>
        </w:rPr>
        <w:t>, Mor., 62550, Mexico.</w:t>
      </w:r>
    </w:p>
    <w:p w14:paraId="72B66567" w14:textId="77777777" w:rsidR="00AE3E37" w:rsidRDefault="00AE3E37">
      <w:pPr>
        <w:pStyle w:val="Textoindependiente"/>
        <w:spacing w:before="3"/>
        <w:rPr>
          <w:rFonts w:ascii="Arial"/>
          <w:sz w:val="21"/>
        </w:rPr>
      </w:pPr>
    </w:p>
    <w:p w14:paraId="5A5D281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2D8B893" w14:textId="77777777" w:rsidR="00AE3E37" w:rsidRDefault="00A9710C">
      <w:pPr>
        <w:pStyle w:val="Ttulo3"/>
        <w:spacing w:before="147"/>
        <w:jc w:val="both"/>
      </w:pPr>
      <w:r>
        <w:rPr>
          <w:color w:val="BF5A14"/>
        </w:rPr>
        <w:t>Abstract</w:t>
      </w:r>
      <w:r w:rsidR="00404E5B">
        <w:rPr>
          <w:color w:val="BF5A14"/>
        </w:rPr>
        <w:t xml:space="preserve"> </w:t>
      </w:r>
    </w:p>
    <w:p w14:paraId="0F2DC9A7" w14:textId="7288FC58" w:rsidR="00C8315A" w:rsidRDefault="00451908" w:rsidP="00451908">
      <w:pPr>
        <w:jc w:val="both"/>
        <w:rPr>
          <w:color w:val="222222"/>
          <w:lang w:val="en"/>
        </w:rPr>
      </w:pPr>
      <w:r w:rsidRPr="00B41828">
        <w:t xml:space="preserve">In order to apply various diagnostic tests for bovine babesiosis, susceptible cattle from a tick-free zone in Mexico were used. A total of 8 animals were purchased and were experimentally infected with </w:t>
      </w:r>
      <w:r w:rsidRPr="00B41828">
        <w:rPr>
          <w:i/>
        </w:rPr>
        <w:t xml:space="preserve">B. </w:t>
      </w:r>
      <w:proofErr w:type="spellStart"/>
      <w:r w:rsidRPr="00B41828">
        <w:rPr>
          <w:i/>
        </w:rPr>
        <w:t>bovis</w:t>
      </w:r>
      <w:proofErr w:type="spellEnd"/>
      <w:r w:rsidRPr="00B41828">
        <w:t xml:space="preserve"> (4 animals) or </w:t>
      </w:r>
      <w:r w:rsidRPr="00B41828">
        <w:rPr>
          <w:i/>
        </w:rPr>
        <w:t xml:space="preserve">B. </w:t>
      </w:r>
      <w:proofErr w:type="spellStart"/>
      <w:r w:rsidRPr="00B41828">
        <w:rPr>
          <w:i/>
        </w:rPr>
        <w:t>bigemina</w:t>
      </w:r>
      <w:proofErr w:type="spellEnd"/>
      <w:r w:rsidRPr="00B41828">
        <w:t xml:space="preserve"> (4 animals). To accomplish this, two </w:t>
      </w:r>
      <w:proofErr w:type="spellStart"/>
      <w:r w:rsidRPr="00B41828">
        <w:t>splenectomized</w:t>
      </w:r>
      <w:proofErr w:type="spellEnd"/>
      <w:r w:rsidRPr="00B41828">
        <w:t xml:space="preserve"> 2-month-old calves were inoculated separately with approximately 1x10</w:t>
      </w:r>
      <w:r w:rsidRPr="00B41828">
        <w:rPr>
          <w:vertAlign w:val="superscript"/>
        </w:rPr>
        <w:t>8</w:t>
      </w:r>
      <w:r w:rsidRPr="00B41828">
        <w:t xml:space="preserve"> infected erythrocytes (IE) with </w:t>
      </w:r>
      <w:r w:rsidRPr="00B41828">
        <w:rPr>
          <w:i/>
        </w:rPr>
        <w:t xml:space="preserve">B. </w:t>
      </w:r>
      <w:proofErr w:type="spellStart"/>
      <w:r w:rsidRPr="00B41828">
        <w:rPr>
          <w:i/>
        </w:rPr>
        <w:t>bovis</w:t>
      </w:r>
      <w:proofErr w:type="spellEnd"/>
      <w:r w:rsidRPr="00B41828">
        <w:t xml:space="preserve"> and </w:t>
      </w:r>
      <w:r w:rsidRPr="00B41828">
        <w:rPr>
          <w:i/>
        </w:rPr>
        <w:t xml:space="preserve">B. </w:t>
      </w:r>
      <w:proofErr w:type="spellStart"/>
      <w:r w:rsidRPr="00B41828">
        <w:rPr>
          <w:i/>
        </w:rPr>
        <w:t>bigemina</w:t>
      </w:r>
      <w:proofErr w:type="spellEnd"/>
      <w:r w:rsidRPr="00B41828">
        <w:t xml:space="preserve">, respectively, using </w:t>
      </w:r>
      <w:proofErr w:type="spellStart"/>
      <w:r w:rsidRPr="00B41828">
        <w:t>stabilates</w:t>
      </w:r>
      <w:proofErr w:type="spellEnd"/>
      <w:r w:rsidRPr="00B41828">
        <w:t xml:space="preserve"> of parasite field isolates cryopreserved at -196°C in liquid nitrogen. Once parasites w</w:t>
      </w:r>
      <w:r>
        <w:t>ere</w:t>
      </w:r>
      <w:r w:rsidRPr="00B41828">
        <w:t xml:space="preserve"> present in Giemsa-stained blood smears, the calves were bled, the parasitemia was estimated and a dose of 1x10</w:t>
      </w:r>
      <w:r w:rsidRPr="00B41828">
        <w:rPr>
          <w:vertAlign w:val="superscript"/>
        </w:rPr>
        <w:t>8</w:t>
      </w:r>
      <w:r w:rsidRPr="00B41828">
        <w:t xml:space="preserve"> IE was inoculated in the remaining intact animals of 6 months of age, with </w:t>
      </w:r>
      <w:r w:rsidRPr="00B41828">
        <w:rPr>
          <w:i/>
        </w:rPr>
        <w:t xml:space="preserve">B. </w:t>
      </w:r>
      <w:proofErr w:type="spellStart"/>
      <w:r w:rsidRPr="00B41828">
        <w:rPr>
          <w:i/>
        </w:rPr>
        <w:t>bovis</w:t>
      </w:r>
      <w:proofErr w:type="spellEnd"/>
      <w:r w:rsidRPr="00B41828">
        <w:t xml:space="preserve"> (3 individuals) or </w:t>
      </w:r>
      <w:r w:rsidRPr="00B41828">
        <w:rPr>
          <w:i/>
        </w:rPr>
        <w:t xml:space="preserve">B. </w:t>
      </w:r>
      <w:proofErr w:type="spellStart"/>
      <w:r w:rsidRPr="00B41828">
        <w:rPr>
          <w:i/>
        </w:rPr>
        <w:t>bigemina</w:t>
      </w:r>
      <w:proofErr w:type="spellEnd"/>
      <w:r w:rsidRPr="00B41828">
        <w:t xml:space="preserve"> (3 individuals). All experimentally inoculated animals were subject to clinical monitoring that included the daily determination, from day 0 and up to day 15 post-inoculation, of the rectal temperatur</w:t>
      </w:r>
      <w:r w:rsidR="00E216EB">
        <w:t>e</w:t>
      </w:r>
      <w:r w:rsidRPr="00B41828">
        <w:t xml:space="preserve"> value, parasitemia (percent of para</w:t>
      </w:r>
      <w:r w:rsidR="00E216EB">
        <w:t>s</w:t>
      </w:r>
      <w:r w:rsidRPr="00B41828">
        <w:t>it</w:t>
      </w:r>
      <w:r w:rsidR="00E216EB">
        <w:t>ized</w:t>
      </w:r>
      <w:r w:rsidRPr="00B41828">
        <w:t xml:space="preserve"> erythrocytes) and the packed cell volume value. The blood samples were collected daily and were processed to have aliquots of complete blood, plasma, packed cells and serum from each individual. Complete blood aliquots and/or cellular package were processed for DNA extraction and analyzed by PCR to identify the prepatent time of infection with </w:t>
      </w:r>
      <w:r w:rsidRPr="00B41828">
        <w:rPr>
          <w:i/>
        </w:rPr>
        <w:t xml:space="preserve">B. </w:t>
      </w:r>
      <w:proofErr w:type="spellStart"/>
      <w:r w:rsidRPr="00B41828">
        <w:rPr>
          <w:i/>
        </w:rPr>
        <w:t>bovis</w:t>
      </w:r>
      <w:proofErr w:type="spellEnd"/>
      <w:r w:rsidRPr="00B41828">
        <w:t xml:space="preserve"> or </w:t>
      </w:r>
      <w:r w:rsidRPr="00B41828">
        <w:rPr>
          <w:i/>
        </w:rPr>
        <w:t xml:space="preserve">B. </w:t>
      </w:r>
      <w:proofErr w:type="spellStart"/>
      <w:r w:rsidRPr="00B41828">
        <w:rPr>
          <w:i/>
        </w:rPr>
        <w:t>bigemin</w:t>
      </w:r>
      <w:r w:rsidR="00F45A7E">
        <w:rPr>
          <w:i/>
        </w:rPr>
        <w:t>a</w:t>
      </w:r>
      <w:bookmarkStart w:id="0" w:name="_GoBack"/>
      <w:bookmarkEnd w:id="0"/>
      <w:proofErr w:type="spellEnd"/>
      <w:r w:rsidRPr="00B41828">
        <w:t>.</w:t>
      </w:r>
      <w:r>
        <w:t xml:space="preserve"> </w:t>
      </w:r>
      <w:r w:rsidRPr="00B41828">
        <w:t xml:space="preserve">Monitoring of experimentally infected animals is presented in Figure 1, in which the expected clinical course for an experimental infection with </w:t>
      </w:r>
      <w:r w:rsidRPr="00B41828">
        <w:rPr>
          <w:i/>
        </w:rPr>
        <w:t xml:space="preserve">B. </w:t>
      </w:r>
      <w:proofErr w:type="spellStart"/>
      <w:r w:rsidRPr="00B41828">
        <w:rPr>
          <w:i/>
        </w:rPr>
        <w:t>bigemina</w:t>
      </w:r>
      <w:proofErr w:type="spellEnd"/>
      <w:r w:rsidRPr="00B41828">
        <w:t xml:space="preserve"> (A) or </w:t>
      </w:r>
      <w:r w:rsidRPr="00B41828">
        <w:rPr>
          <w:i/>
        </w:rPr>
        <w:t xml:space="preserve">B. </w:t>
      </w:r>
      <w:proofErr w:type="spellStart"/>
      <w:r w:rsidRPr="00B41828">
        <w:rPr>
          <w:i/>
        </w:rPr>
        <w:t>bovis</w:t>
      </w:r>
      <w:proofErr w:type="spellEnd"/>
      <w:r w:rsidRPr="00B41828">
        <w:t xml:space="preserve"> (B), </w:t>
      </w:r>
      <w:proofErr w:type="spellStart"/>
      <w:r w:rsidRPr="00B41828">
        <w:t>ie</w:t>
      </w:r>
      <w:proofErr w:type="spellEnd"/>
      <w:r w:rsidRPr="00B41828">
        <w:t xml:space="preserve">, temperature elevation in days 5-7 or 6-8 pos-inoculation (PI) can be observed. Maximum decrease in the packed cell </w:t>
      </w:r>
      <w:proofErr w:type="spellStart"/>
      <w:r w:rsidRPr="00B41828">
        <w:t>volumen</w:t>
      </w:r>
      <w:proofErr w:type="spellEnd"/>
      <w:r w:rsidRPr="00B41828">
        <w:t xml:space="preserve"> (PCV) value towards days 5-8 or 6-10 PI; as well as the presence of circulating infected erythrocytes during days 5-8 or 3-8 PI, for the intact cattle inoculated with </w:t>
      </w:r>
      <w:r w:rsidRPr="00B41828">
        <w:rPr>
          <w:i/>
        </w:rPr>
        <w:t xml:space="preserve">B. </w:t>
      </w:r>
      <w:proofErr w:type="spellStart"/>
      <w:r w:rsidRPr="00B41828">
        <w:rPr>
          <w:i/>
        </w:rPr>
        <w:t>bigemina</w:t>
      </w:r>
      <w:proofErr w:type="spellEnd"/>
      <w:r w:rsidRPr="00B41828">
        <w:t xml:space="preserve"> or </w:t>
      </w:r>
      <w:r w:rsidRPr="00B41828">
        <w:rPr>
          <w:i/>
        </w:rPr>
        <w:t xml:space="preserve">B. </w:t>
      </w:r>
      <w:proofErr w:type="spellStart"/>
      <w:r w:rsidRPr="00B41828">
        <w:rPr>
          <w:i/>
        </w:rPr>
        <w:t>bovis</w:t>
      </w:r>
      <w:proofErr w:type="spellEnd"/>
      <w:r w:rsidRPr="00B41828">
        <w:t>, respectively. The animals were confirmed positive by molecular PCR testing (</w:t>
      </w:r>
      <w:r>
        <w:t>not shown)</w:t>
      </w:r>
      <w:r w:rsidR="00C8315A" w:rsidRPr="001F1F78">
        <w:rPr>
          <w:color w:val="222222"/>
          <w:lang w:val="en"/>
        </w:rPr>
        <w:t>.</w:t>
      </w:r>
    </w:p>
    <w:p w14:paraId="5F9AB148" w14:textId="35B58FB0" w:rsidR="00162B66" w:rsidRDefault="00162B66" w:rsidP="00451908">
      <w:pPr>
        <w:jc w:val="both"/>
        <w:rPr>
          <w:color w:val="222222"/>
          <w:lang w:val="en"/>
        </w:rPr>
      </w:pPr>
    </w:p>
    <w:p w14:paraId="16D8D93C" w14:textId="77777777" w:rsidR="00162B66" w:rsidRDefault="00162B66" w:rsidP="00162B66">
      <w:pPr>
        <w:pStyle w:val="Textoindependiente"/>
        <w:spacing w:before="2"/>
        <w:rPr>
          <w:rFonts w:ascii="Arial"/>
          <w:b/>
          <w:color w:val="BF5A14"/>
          <w:sz w:val="20"/>
        </w:rPr>
      </w:pPr>
      <w:r>
        <w:rPr>
          <w:rFonts w:ascii="Arial"/>
          <w:b/>
          <w:color w:val="BF5A14"/>
          <w:sz w:val="20"/>
        </w:rPr>
        <w:t>Recent Publications</w:t>
      </w:r>
    </w:p>
    <w:p w14:paraId="121B205F" w14:textId="77777777" w:rsidR="005F1ED2" w:rsidRDefault="005F1ED2" w:rsidP="005F1ED2">
      <w:pPr>
        <w:pStyle w:val="Prrafodelista"/>
        <w:autoSpaceDE w:val="0"/>
        <w:autoSpaceDN w:val="0"/>
        <w:adjustRightInd w:val="0"/>
        <w:ind w:firstLine="0"/>
        <w:rPr>
          <w:rFonts w:ascii="Tw Cen MT" w:eastAsia="Tw Cen MT" w:hAnsi="Tw Cen MT" w:cs="Tw Cen MT"/>
        </w:rPr>
      </w:pPr>
    </w:p>
    <w:p w14:paraId="4071B06F" w14:textId="7166DC37" w:rsidR="005F1ED2" w:rsidRPr="005F1ED2" w:rsidRDefault="005F1ED2" w:rsidP="005F1ED2">
      <w:pPr>
        <w:pStyle w:val="Prrafodelista"/>
        <w:numPr>
          <w:ilvl w:val="0"/>
          <w:numId w:val="3"/>
        </w:numPr>
        <w:autoSpaceDE w:val="0"/>
        <w:autoSpaceDN w:val="0"/>
        <w:adjustRightInd w:val="0"/>
        <w:rPr>
          <w:rFonts w:ascii="Tw Cen MT" w:eastAsia="Tw Cen MT" w:hAnsi="Tw Cen MT" w:cs="Tw Cen MT"/>
        </w:rPr>
      </w:pPr>
      <w:r w:rsidRPr="005F1ED2">
        <w:rPr>
          <w:rFonts w:ascii="Tw Cen MT" w:eastAsia="Tw Cen MT" w:hAnsi="Tw Cen MT" w:cs="Tw Cen MT"/>
        </w:rPr>
        <w:t>Bock, R.E., Jackson, L. A., de Vos, A. J. y W.K. Jorgensen. 2008. Babesiosis of cattle. In: Bowman A.S., Nuttall P.A. (eds). Ticks Biology, Disease and Control. Cambridge University Press, New York, 281-307.</w:t>
      </w:r>
    </w:p>
    <w:p w14:paraId="37DEA0E9" w14:textId="378C72BB" w:rsidR="00162B66" w:rsidRDefault="00A9710C" w:rsidP="007C6503">
      <w:pPr>
        <w:pStyle w:val="Ttulo3"/>
        <w:spacing w:before="74"/>
        <w:rPr>
          <w:rFonts w:ascii="Tw Cen MT" w:eastAsia="Tw Cen MT" w:hAnsi="Tw Cen MT" w:cs="Tw Cen MT"/>
          <w:bCs w:val="0"/>
        </w:rPr>
      </w:pPr>
      <w:r>
        <w:rPr>
          <w:b w:val="0"/>
        </w:rPr>
        <w:br w:type="column"/>
      </w:r>
      <w:r w:rsidR="00162B66">
        <w:rPr>
          <w:b w:val="0"/>
          <w:noProof/>
          <w:lang w:val="es-MX" w:eastAsia="es-MX"/>
        </w:rPr>
        <w:drawing>
          <wp:inline distT="0" distB="0" distL="0" distR="0" wp14:anchorId="4BEE7F0D" wp14:editId="178D02F9">
            <wp:extent cx="2709880" cy="5370830"/>
            <wp:effectExtent l="0" t="0" r="0" b="12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Vertical.tif"/>
                    <pic:cNvPicPr/>
                  </pic:nvPicPr>
                  <pic:blipFill>
                    <a:blip r:embed="rId9">
                      <a:extLst>
                        <a:ext uri="{28A0092B-C50C-407E-A947-70E740481C1C}">
                          <a14:useLocalDpi xmlns:a14="http://schemas.microsoft.com/office/drawing/2010/main" val="0"/>
                        </a:ext>
                      </a:extLst>
                    </a:blip>
                    <a:stretch>
                      <a:fillRect/>
                    </a:stretch>
                  </pic:blipFill>
                  <pic:spPr>
                    <a:xfrm>
                      <a:off x="0" y="0"/>
                      <a:ext cx="2752171" cy="5454649"/>
                    </a:xfrm>
                    <a:prstGeom prst="rect">
                      <a:avLst/>
                    </a:prstGeom>
                  </pic:spPr>
                </pic:pic>
              </a:graphicData>
            </a:graphic>
          </wp:inline>
        </w:drawing>
      </w:r>
      <w:r w:rsidR="007C6503">
        <w:rPr>
          <w:b w:val="0"/>
        </w:rPr>
        <w:t xml:space="preserve">          </w:t>
      </w:r>
      <w:r w:rsidR="00162B66" w:rsidRPr="007C6503">
        <w:rPr>
          <w:rFonts w:ascii="Tw Cen MT" w:eastAsia="Tw Cen MT" w:hAnsi="Tw Cen MT" w:cs="Tw Cen MT"/>
          <w:bCs w:val="0"/>
        </w:rPr>
        <w:t xml:space="preserve">Figure 1. Clinical monitoring of cattle experimentally infected with </w:t>
      </w:r>
      <w:r w:rsidR="00162B66" w:rsidRPr="007C6503">
        <w:rPr>
          <w:rFonts w:ascii="Tw Cen MT" w:eastAsia="Tw Cen MT" w:hAnsi="Tw Cen MT" w:cs="Tw Cen MT"/>
          <w:bCs w:val="0"/>
          <w:i/>
        </w:rPr>
        <w:t xml:space="preserve">B. </w:t>
      </w:r>
      <w:proofErr w:type="spellStart"/>
      <w:r w:rsidR="00162B66" w:rsidRPr="007C6503">
        <w:rPr>
          <w:rFonts w:ascii="Tw Cen MT" w:eastAsia="Tw Cen MT" w:hAnsi="Tw Cen MT" w:cs="Tw Cen MT"/>
          <w:bCs w:val="0"/>
          <w:i/>
        </w:rPr>
        <w:t>bigemina</w:t>
      </w:r>
      <w:proofErr w:type="spellEnd"/>
      <w:r w:rsidR="00162B66" w:rsidRPr="007C6503">
        <w:rPr>
          <w:rFonts w:ascii="Tw Cen MT" w:eastAsia="Tw Cen MT" w:hAnsi="Tw Cen MT" w:cs="Tw Cen MT"/>
          <w:bCs w:val="0"/>
          <w:i/>
        </w:rPr>
        <w:t xml:space="preserve"> </w:t>
      </w:r>
      <w:r w:rsidR="00162B66" w:rsidRPr="007C6503">
        <w:rPr>
          <w:rFonts w:ascii="Tw Cen MT" w:eastAsia="Tw Cen MT" w:hAnsi="Tw Cen MT" w:cs="Tw Cen MT"/>
          <w:bCs w:val="0"/>
        </w:rPr>
        <w:t xml:space="preserve">(A) or </w:t>
      </w:r>
      <w:r w:rsidR="00162B66" w:rsidRPr="007C6503">
        <w:rPr>
          <w:rFonts w:ascii="Tw Cen MT" w:eastAsia="Tw Cen MT" w:hAnsi="Tw Cen MT" w:cs="Tw Cen MT"/>
          <w:bCs w:val="0"/>
          <w:i/>
        </w:rPr>
        <w:t xml:space="preserve">B. </w:t>
      </w:r>
      <w:proofErr w:type="spellStart"/>
      <w:r w:rsidR="00162B66" w:rsidRPr="007C6503">
        <w:rPr>
          <w:rFonts w:ascii="Tw Cen MT" w:eastAsia="Tw Cen MT" w:hAnsi="Tw Cen MT" w:cs="Tw Cen MT"/>
          <w:bCs w:val="0"/>
          <w:i/>
        </w:rPr>
        <w:t>bovis</w:t>
      </w:r>
      <w:proofErr w:type="spellEnd"/>
      <w:r w:rsidR="00162B66" w:rsidRPr="007C6503">
        <w:rPr>
          <w:rFonts w:ascii="Tw Cen MT" w:eastAsia="Tw Cen MT" w:hAnsi="Tw Cen MT" w:cs="Tw Cen MT"/>
          <w:bCs w:val="0"/>
        </w:rPr>
        <w:t xml:space="preserve"> (B).</w:t>
      </w:r>
    </w:p>
    <w:p w14:paraId="221A49C6" w14:textId="77777777" w:rsidR="005F1ED2" w:rsidRPr="007C6503" w:rsidRDefault="005F1ED2" w:rsidP="007C6503">
      <w:pPr>
        <w:pStyle w:val="Ttulo3"/>
        <w:spacing w:before="74"/>
        <w:rPr>
          <w:b w:val="0"/>
          <w:i/>
          <w:sz w:val="18"/>
          <w:szCs w:val="18"/>
        </w:rPr>
      </w:pPr>
    </w:p>
    <w:p w14:paraId="43FA0FAA" w14:textId="00CB85C5" w:rsidR="005F1ED2" w:rsidRPr="005F1ED2" w:rsidRDefault="005F1ED2" w:rsidP="005F1ED2">
      <w:pPr>
        <w:pStyle w:val="Prrafodelista"/>
        <w:numPr>
          <w:ilvl w:val="0"/>
          <w:numId w:val="3"/>
        </w:numPr>
        <w:autoSpaceDE w:val="0"/>
        <w:autoSpaceDN w:val="0"/>
        <w:adjustRightInd w:val="0"/>
        <w:rPr>
          <w:rFonts w:ascii="Tw Cen MT" w:eastAsia="Tw Cen MT" w:hAnsi="Tw Cen MT" w:cs="Tw Cen MT"/>
        </w:rPr>
      </w:pPr>
      <w:r w:rsidRPr="005F1ED2">
        <w:rPr>
          <w:rFonts w:ascii="Tw Cen MT" w:eastAsia="Tw Cen MT" w:hAnsi="Tw Cen MT" w:cs="Tw Cen MT"/>
        </w:rPr>
        <w:t xml:space="preserve">World Organization for Animal Health (2014). Bovine babesiosis. In: OIE, Standards for diagnostic tests and vaccines (Terrestrial Animal Health Code). Paris, France. </w:t>
      </w:r>
      <w:hyperlink r:id="rId10" w:history="1">
        <w:r w:rsidRPr="005F1ED2">
          <w:rPr>
            <w:rFonts w:ascii="Tw Cen MT" w:eastAsia="Tw Cen MT" w:hAnsi="Tw Cen MT" w:cs="Tw Cen MT"/>
          </w:rPr>
          <w:t>http://www.oie.int/fileadmin/Home/eng/Health_standards/tahm</w:t>
        </w:r>
      </w:hyperlink>
      <w:r w:rsidRPr="005F1ED2">
        <w:rPr>
          <w:rFonts w:ascii="Tw Cen MT" w:eastAsia="Tw Cen MT" w:hAnsi="Tw Cen MT" w:cs="Tw Cen MT"/>
        </w:rPr>
        <w:t xml:space="preserve">; Consulted on </w:t>
      </w:r>
      <w:proofErr w:type="spellStart"/>
      <w:r w:rsidRPr="005F1ED2">
        <w:rPr>
          <w:rFonts w:ascii="Tw Cen MT" w:eastAsia="Tw Cen MT" w:hAnsi="Tw Cen MT" w:cs="Tw Cen MT"/>
        </w:rPr>
        <w:t>december</w:t>
      </w:r>
      <w:proofErr w:type="spellEnd"/>
      <w:r w:rsidRPr="005F1ED2">
        <w:rPr>
          <w:rFonts w:ascii="Tw Cen MT" w:eastAsia="Tw Cen MT" w:hAnsi="Tw Cen MT" w:cs="Tw Cen MT"/>
        </w:rPr>
        <w:t xml:space="preserve"> 22, 2019.</w:t>
      </w:r>
    </w:p>
    <w:p w14:paraId="18E50EBB" w14:textId="5CD84F4B" w:rsidR="00162B66" w:rsidRDefault="00162B66" w:rsidP="005F1ED2">
      <w:pPr>
        <w:pStyle w:val="Textoindependiente"/>
        <w:spacing w:before="85" w:line="216" w:lineRule="exact"/>
        <w:ind w:left="383" w:right="138"/>
        <w:jc w:val="both"/>
        <w:rPr>
          <w:rFonts w:ascii="Calibri" w:hAnsi="Calibri"/>
        </w:rPr>
      </w:pPr>
    </w:p>
    <w:p w14:paraId="1CA08437" w14:textId="0D913632" w:rsidR="002118C6" w:rsidRPr="00940D0F" w:rsidRDefault="00162B66" w:rsidP="00162B66">
      <w:pPr>
        <w:pStyle w:val="Textoindependiente"/>
        <w:spacing w:before="2"/>
        <w:rPr>
          <w:rFonts w:ascii="Calibri" w:hAnsi="Calibri"/>
        </w:rPr>
      </w:pPr>
      <w:r>
        <w:rPr>
          <w:rFonts w:ascii="Arial"/>
          <w:b/>
          <w:sz w:val="16"/>
        </w:rPr>
        <w:t xml:space="preserve">  </w:t>
      </w:r>
    </w:p>
    <w:p w14:paraId="54FD035A"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9767794" w14:textId="77777777" w:rsidR="00AE3E37" w:rsidRDefault="00AE3E37">
      <w:pPr>
        <w:pStyle w:val="Textoindependiente"/>
        <w:rPr>
          <w:rFonts w:ascii="Calibri"/>
          <w:sz w:val="20"/>
        </w:rPr>
      </w:pPr>
    </w:p>
    <w:p w14:paraId="20D6211D" w14:textId="77777777" w:rsidR="00AE3E37" w:rsidRDefault="00292ED9">
      <w:pPr>
        <w:pStyle w:val="Textoindependiente"/>
        <w:spacing w:line="40" w:lineRule="exact"/>
        <w:ind w:left="2202"/>
        <w:rPr>
          <w:rFonts w:ascii="Calibri"/>
          <w:sz w:val="4"/>
        </w:rPr>
      </w:pPr>
      <w:r>
        <w:rPr>
          <w:rFonts w:ascii="Calibri"/>
          <w:noProof/>
          <w:sz w:val="4"/>
          <w:lang w:val="es-MX" w:eastAsia="es-MX"/>
        </w:rPr>
        <mc:AlternateContent>
          <mc:Choice Requires="wpg">
            <w:drawing>
              <wp:inline distT="0" distB="0" distL="0" distR="0" wp14:anchorId="173213D3" wp14:editId="772F34E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FAE1A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1C11FCA" w14:textId="77777777" w:rsidR="00AE3E37" w:rsidRDefault="008756E6" w:rsidP="00404E5B">
      <w:pPr>
        <w:spacing w:before="92"/>
        <w:ind w:right="4234"/>
        <w:rPr>
          <w:rFonts w:ascii="Arial"/>
        </w:rPr>
      </w:pPr>
      <w:r>
        <w:rPr>
          <w:noProof/>
        </w:rPr>
        <w:t xml:space="preserve"> </w:t>
      </w:r>
      <w:r w:rsidR="00231615">
        <w:rPr>
          <w:noProof/>
          <w:lang w:val="es-MX" w:eastAsia="es-MX"/>
        </w:rPr>
        <w:drawing>
          <wp:inline distT="0" distB="0" distL="0" distR="0" wp14:anchorId="690E7FE6" wp14:editId="6C4D9B0E">
            <wp:extent cx="460858" cy="460858"/>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1540" cy="461540"/>
                    </a:xfrm>
                    <a:prstGeom prst="rect">
                      <a:avLst/>
                    </a:prstGeom>
                  </pic:spPr>
                </pic:pic>
              </a:graphicData>
            </a:graphic>
          </wp:inline>
        </w:drawing>
      </w:r>
      <w:r w:rsidR="00231615">
        <w:rPr>
          <w:noProof/>
        </w:rPr>
        <w:t xml:space="preserve">   </w:t>
      </w:r>
      <w:r>
        <w:rPr>
          <w:noProof/>
        </w:rPr>
        <w:t xml:space="preserve"> </w:t>
      </w:r>
      <w:r w:rsidR="00A9710C">
        <w:rPr>
          <w:rFonts w:ascii="Arial"/>
          <w:color w:val="BF5A14"/>
        </w:rPr>
        <w:t>Biography</w:t>
      </w:r>
      <w:r w:rsidR="00404E5B">
        <w:rPr>
          <w:rFonts w:ascii="Arial"/>
          <w:color w:val="BF5A14"/>
        </w:rPr>
        <w:t xml:space="preserve"> </w:t>
      </w:r>
    </w:p>
    <w:p w14:paraId="78ED6272" w14:textId="77777777" w:rsidR="004B7179" w:rsidRPr="004B7179" w:rsidRDefault="004B7179" w:rsidP="004B7179">
      <w:pPr>
        <w:pStyle w:val="NormalWeb"/>
        <w:shd w:val="clear" w:color="auto" w:fill="FFFFFF"/>
        <w:jc w:val="both"/>
        <w:rPr>
          <w:rFonts w:ascii="Arial"/>
          <w:sz w:val="14"/>
        </w:rPr>
      </w:pPr>
      <w:r w:rsidRPr="004B7179">
        <w:rPr>
          <w:rFonts w:ascii="Arial"/>
          <w:sz w:val="14"/>
        </w:rPr>
        <w:t>Julio V. Figueroa  is currently working as a researcher and Head of the National Research Center for Veterinary Parasitology, INIFAP, in Jiutepec, Morelos, Mexico. He obtained his Veterinary Medicine degree from the State of Mexico Autonomous University in Toluca, Mexico, and the MSc and PhD degrees in Veterinary Pathology and Microbiology at the University of Columbia-Missouri, in Columbia, MO, USA. He has conducted research on tick borne diseases of cattle during the past 30 years and has published over 70 research papers in peer reviewed international journals.</w:t>
      </w:r>
    </w:p>
    <w:p w14:paraId="3A14FE60" w14:textId="02B313B1" w:rsidR="00AE3E37" w:rsidRDefault="00A9710C">
      <w:pPr>
        <w:spacing w:before="62"/>
        <w:ind w:left="4217" w:right="4235"/>
        <w:jc w:val="center"/>
        <w:rPr>
          <w:rFonts w:ascii="Arial"/>
          <w:sz w:val="14"/>
        </w:rPr>
      </w:pPr>
      <w:r>
        <w:rPr>
          <w:rFonts w:ascii="Arial"/>
          <w:sz w:val="14"/>
        </w:rPr>
        <w:t xml:space="preserve">Email: </w:t>
      </w:r>
      <w:hyperlink r:id="rId12" w:history="1">
        <w:r w:rsidR="004B7179" w:rsidRPr="007419FD">
          <w:rPr>
            <w:rStyle w:val="Hipervnculo"/>
            <w:rFonts w:ascii="Arial"/>
            <w:sz w:val="14"/>
          </w:rPr>
          <w:t>figueroa.julio@inifap.gob.mx</w:t>
        </w:r>
      </w:hyperlink>
    </w:p>
    <w:p w14:paraId="3D7ED8B2" w14:textId="4DE50897" w:rsidR="00950C59" w:rsidRPr="00950C59" w:rsidRDefault="00292ED9" w:rsidP="00162B66">
      <w:pPr>
        <w:pStyle w:val="Textoindependiente"/>
        <w:spacing w:before="2"/>
        <w:rPr>
          <w:rFonts w:ascii="Minion Pro"/>
          <w:sz w:val="20"/>
        </w:rPr>
      </w:pPr>
      <w:r>
        <w:rPr>
          <w:noProof/>
          <w:lang w:val="es-MX" w:eastAsia="es-MX"/>
        </w:rPr>
        <mc:AlternateContent>
          <mc:Choice Requires="wps">
            <w:drawing>
              <wp:anchor distT="0" distB="0" distL="0" distR="0" simplePos="0" relativeHeight="1072" behindDoc="0" locked="0" layoutInCell="1" allowOverlap="1" wp14:anchorId="784255A1" wp14:editId="23DBF0E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0335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r w:rsidR="00950C59">
        <w:rPr>
          <w:rFonts w:ascii="Minion Pro"/>
          <w:b/>
          <w:sz w:val="20"/>
        </w:rPr>
        <w:t xml:space="preserve"> </w:t>
      </w:r>
      <w:r w:rsidR="00F225BC" w:rsidRPr="00F225BC">
        <w:rPr>
          <w:rFonts w:ascii="Minion Pro"/>
          <w:bCs/>
          <w:sz w:val="20"/>
        </w:rPr>
        <w:t>F</w:t>
      </w:r>
      <w:r w:rsidR="00950C59" w:rsidRPr="00950C59">
        <w:rPr>
          <w:rFonts w:ascii="Minion Pro"/>
          <w:sz w:val="20"/>
        </w:rPr>
        <w:t xml:space="preserve">inanced by </w:t>
      </w:r>
      <w:r w:rsidR="00950C59">
        <w:rPr>
          <w:rFonts w:ascii="Minion Pro"/>
          <w:sz w:val="20"/>
        </w:rPr>
        <w:t xml:space="preserve">CONACYT, Mexico, </w:t>
      </w:r>
      <w:proofErr w:type="spellStart"/>
      <w:r w:rsidR="00162B66">
        <w:rPr>
          <w:rFonts w:ascii="Minion Pro"/>
          <w:sz w:val="20"/>
        </w:rPr>
        <w:t>Ciencia</w:t>
      </w:r>
      <w:proofErr w:type="spellEnd"/>
      <w:r w:rsidR="00162B66">
        <w:rPr>
          <w:rFonts w:ascii="Minion Pro"/>
          <w:sz w:val="20"/>
        </w:rPr>
        <w:t xml:space="preserve"> </w:t>
      </w:r>
      <w:proofErr w:type="spellStart"/>
      <w:r w:rsidR="00162B66">
        <w:rPr>
          <w:rFonts w:ascii="Minion Pro"/>
          <w:sz w:val="20"/>
        </w:rPr>
        <w:t>B</w:t>
      </w:r>
      <w:r w:rsidR="00F45A7E">
        <w:rPr>
          <w:rFonts w:ascii="Minion Pro"/>
          <w:sz w:val="20"/>
        </w:rPr>
        <w:t>a</w:t>
      </w:r>
      <w:r w:rsidR="00162B66">
        <w:rPr>
          <w:rFonts w:ascii="Minion Pro"/>
          <w:sz w:val="20"/>
        </w:rPr>
        <w:t>sica</w:t>
      </w:r>
      <w:proofErr w:type="spellEnd"/>
      <w:r w:rsidR="00950C59" w:rsidRPr="00950C59">
        <w:rPr>
          <w:rFonts w:ascii="Minion Pro"/>
          <w:sz w:val="20"/>
        </w:rPr>
        <w:t xml:space="preserve"> 201</w:t>
      </w:r>
      <w:r w:rsidR="00162B66">
        <w:rPr>
          <w:rFonts w:ascii="Minion Pro"/>
          <w:sz w:val="20"/>
        </w:rPr>
        <w:t>7-2018</w:t>
      </w:r>
      <w:r w:rsidR="00950C59" w:rsidRPr="00950C59">
        <w:rPr>
          <w:rFonts w:ascii="Minion Pro"/>
          <w:sz w:val="20"/>
        </w:rPr>
        <w:t>, Project No</w:t>
      </w:r>
      <w:r w:rsidR="00950C59" w:rsidRPr="00F225BC">
        <w:rPr>
          <w:rFonts w:ascii="Minion Pro"/>
          <w:sz w:val="20"/>
        </w:rPr>
        <w:t>.</w:t>
      </w:r>
      <w:r w:rsidR="00F225BC" w:rsidRPr="00F225BC">
        <w:rPr>
          <w:rFonts w:ascii="Minion Pro"/>
          <w:sz w:val="20"/>
        </w:rPr>
        <w:t xml:space="preserve"> A1-S-43508</w:t>
      </w:r>
      <w:r w:rsidR="00950C59" w:rsidRPr="00F225BC">
        <w:rPr>
          <w:rFonts w:ascii="Minion Pro"/>
          <w:sz w:val="20"/>
        </w:rPr>
        <w:t>.</w:t>
      </w:r>
      <w:r w:rsidR="00950C59" w:rsidRPr="00950C59">
        <w:rPr>
          <w:rFonts w:ascii="Minion Pro"/>
          <w:sz w:val="20"/>
        </w:rPr>
        <w:t xml:space="preserve"> </w:t>
      </w:r>
    </w:p>
    <w:sectPr w:rsidR="00950C59" w:rsidRPr="00950C59" w:rsidSect="00950C59">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535610" w14:textId="77777777" w:rsidR="00CA5BDB" w:rsidRDefault="00CA5BDB">
      <w:r>
        <w:separator/>
      </w:r>
    </w:p>
  </w:endnote>
  <w:endnote w:type="continuationSeparator" w:id="0">
    <w:p w14:paraId="52F40F82" w14:textId="77777777" w:rsidR="00CA5BDB" w:rsidRDefault="00CA5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EA712" w14:textId="77777777"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928" behindDoc="1" locked="0" layoutInCell="1" allowOverlap="1" wp14:anchorId="701A0147" wp14:editId="30B0014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B0A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AF0C1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A014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80B0A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AF0C1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52" behindDoc="1" locked="0" layoutInCell="1" allowOverlap="1" wp14:anchorId="6B2E87DD" wp14:editId="731F1F8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EB29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A67C2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E87D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8CEB29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A67C2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76" behindDoc="1" locked="0" layoutInCell="1" allowOverlap="1" wp14:anchorId="0C092370" wp14:editId="55A1256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97D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AE9F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9237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B297D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AE9F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E4B887" w14:textId="77777777" w:rsidR="00CA5BDB" w:rsidRDefault="00CA5BDB">
      <w:r>
        <w:separator/>
      </w:r>
    </w:p>
  </w:footnote>
  <w:footnote w:type="continuationSeparator" w:id="0">
    <w:p w14:paraId="09B7B865" w14:textId="77777777" w:rsidR="00CA5BDB" w:rsidRDefault="00CA5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41B47" w14:textId="77777777"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880" behindDoc="1" locked="0" layoutInCell="1" allowOverlap="1" wp14:anchorId="2D768B55" wp14:editId="37CC0D4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3BBB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68B5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223BBB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04" behindDoc="1" locked="0" layoutInCell="1" allowOverlap="1" wp14:anchorId="2A253422" wp14:editId="704DB4B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0661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2A2E1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5342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710661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2A2E1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E2911"/>
    <w:rsid w:val="001263DF"/>
    <w:rsid w:val="00162B66"/>
    <w:rsid w:val="002118C6"/>
    <w:rsid w:val="00231615"/>
    <w:rsid w:val="00292ED9"/>
    <w:rsid w:val="00404E5B"/>
    <w:rsid w:val="00414F7B"/>
    <w:rsid w:val="004355DC"/>
    <w:rsid w:val="00437F1F"/>
    <w:rsid w:val="00451908"/>
    <w:rsid w:val="004749B4"/>
    <w:rsid w:val="00494130"/>
    <w:rsid w:val="004B6D76"/>
    <w:rsid w:val="004B7179"/>
    <w:rsid w:val="004F3523"/>
    <w:rsid w:val="005973B9"/>
    <w:rsid w:val="005B3A56"/>
    <w:rsid w:val="005F1ED2"/>
    <w:rsid w:val="006060CE"/>
    <w:rsid w:val="0063497F"/>
    <w:rsid w:val="006E31D1"/>
    <w:rsid w:val="007138D4"/>
    <w:rsid w:val="007B0B56"/>
    <w:rsid w:val="007C6503"/>
    <w:rsid w:val="008012DE"/>
    <w:rsid w:val="00873DF0"/>
    <w:rsid w:val="008756E6"/>
    <w:rsid w:val="00940D0F"/>
    <w:rsid w:val="00950C59"/>
    <w:rsid w:val="009A7A69"/>
    <w:rsid w:val="009B2D44"/>
    <w:rsid w:val="00A07E82"/>
    <w:rsid w:val="00A33F86"/>
    <w:rsid w:val="00A50B9E"/>
    <w:rsid w:val="00A9710C"/>
    <w:rsid w:val="00AE3E37"/>
    <w:rsid w:val="00B21A57"/>
    <w:rsid w:val="00BE658F"/>
    <w:rsid w:val="00C33602"/>
    <w:rsid w:val="00C8315A"/>
    <w:rsid w:val="00CA5BDB"/>
    <w:rsid w:val="00CD6F55"/>
    <w:rsid w:val="00DE3104"/>
    <w:rsid w:val="00E216EB"/>
    <w:rsid w:val="00E3652E"/>
    <w:rsid w:val="00F058E3"/>
    <w:rsid w:val="00F225BC"/>
    <w:rsid w:val="00F45A7E"/>
    <w:rsid w:val="00F72EEA"/>
    <w:rsid w:val="00F84CAE"/>
    <w:rsid w:val="00FD3D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63B0C"/>
  <w15:docId w15:val="{45822774-E362-443C-B234-96B83755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Default">
    <w:name w:val="Default"/>
    <w:rsid w:val="00C8315A"/>
    <w:pPr>
      <w:widowControl/>
      <w:autoSpaceDE w:val="0"/>
      <w:autoSpaceDN w:val="0"/>
      <w:adjustRightInd w:val="0"/>
    </w:pPr>
    <w:rPr>
      <w:rFonts w:ascii="Trebuchet MS" w:eastAsia="Calibri" w:hAnsi="Trebuchet MS" w:cs="Trebuchet MS"/>
      <w:color w:val="000000"/>
      <w:sz w:val="24"/>
      <w:szCs w:val="24"/>
      <w:lang w:val="es-ES"/>
    </w:rPr>
  </w:style>
  <w:style w:type="paragraph" w:styleId="NormalWeb">
    <w:name w:val="Normal (Web)"/>
    <w:basedOn w:val="Normal"/>
    <w:uiPriority w:val="99"/>
    <w:rsid w:val="004B7179"/>
    <w:pPr>
      <w:widowControl/>
    </w:pPr>
    <w:rPr>
      <w:rFonts w:ascii="Times New Roman" w:eastAsia="Times New Roman" w:hAnsi="Times New Roman" w:cs="Times New Roman"/>
      <w:sz w:val="24"/>
      <w:szCs w:val="24"/>
      <w:lang w:val="it-IT" w:eastAsia="it-IT"/>
    </w:rPr>
  </w:style>
  <w:style w:type="paragraph" w:styleId="Sangradetextonormal">
    <w:name w:val="Body Text Indent"/>
    <w:basedOn w:val="Normal"/>
    <w:link w:val="SangradetextonormalCar"/>
    <w:uiPriority w:val="99"/>
    <w:semiHidden/>
    <w:unhideWhenUsed/>
    <w:rsid w:val="002118C6"/>
    <w:pPr>
      <w:spacing w:after="120"/>
      <w:ind w:left="283"/>
    </w:pPr>
  </w:style>
  <w:style w:type="character" w:customStyle="1" w:styleId="SangradetextonormalCar">
    <w:name w:val="Sangría de texto normal Car"/>
    <w:basedOn w:val="Fuentedeprrafopredeter"/>
    <w:link w:val="Sangradetextonormal"/>
    <w:uiPriority w:val="99"/>
    <w:semiHidden/>
    <w:rsid w:val="002118C6"/>
    <w:rPr>
      <w:rFonts w:ascii="Tw Cen MT" w:eastAsia="Tw Cen MT" w:hAnsi="Tw Cen MT" w:cs="Tw Cen MT"/>
    </w:rPr>
  </w:style>
  <w:style w:type="character" w:styleId="Mencinsinresolver">
    <w:name w:val="Unresolved Mention"/>
    <w:basedOn w:val="Fuentedeprrafopredeter"/>
    <w:uiPriority w:val="99"/>
    <w:semiHidden/>
    <w:unhideWhenUsed/>
    <w:rsid w:val="005F1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figueroa.julio@inifap.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oie.int/fileadmin/Home/eng/Health_standards/tahm" TargetMode="External"/><Relationship Id="rId4" Type="http://schemas.openxmlformats.org/officeDocument/2006/relationships/webSettings" Target="webSettings.xml"/><Relationship Id="rId9" Type="http://schemas.openxmlformats.org/officeDocument/2006/relationships/image" Target="media/image1.ti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567</Words>
  <Characters>3121</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Julio Figueroa</cp:lastModifiedBy>
  <cp:revision>3</cp:revision>
  <dcterms:created xsi:type="dcterms:W3CDTF">2020-01-09T05:39:00Z</dcterms:created>
  <dcterms:modified xsi:type="dcterms:W3CDTF">2020-01-10T15:24:00Z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