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C314E8" w:rsidP="00494130">
      <w:pPr>
        <w:pStyle w:val="Heading1"/>
        <w:spacing w:before="170"/>
        <w:ind w:left="0"/>
      </w:pPr>
      <w:r>
        <w:rPr>
          <w:color w:val="337AB7"/>
        </w:rPr>
        <w:t>The first report of cervix fibrosarcoma in a Rottweiler dog</w:t>
      </w:r>
    </w:p>
    <w:p w:rsidR="005973B9" w:rsidRDefault="002A786F" w:rsidP="002A786F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Mahmoud Khajeh</w:t>
      </w:r>
      <w:r w:rsidR="005973B9">
        <w:rPr>
          <w:rFonts w:ascii="Arial"/>
        </w:rPr>
        <w:t xml:space="preserve">, </w:t>
      </w:r>
      <w:r>
        <w:rPr>
          <w:rFonts w:ascii="Arial"/>
        </w:rPr>
        <w:t>Paytakht Pet Hospital</w:t>
      </w:r>
      <w:r w:rsidR="005973B9">
        <w:rPr>
          <w:rFonts w:ascii="Arial"/>
        </w:rPr>
        <w:t xml:space="preserve">, </w:t>
      </w:r>
      <w:r>
        <w:rPr>
          <w:rFonts w:ascii="Arial"/>
        </w:rPr>
        <w:t>Iran, Tehran</w:t>
      </w:r>
      <w:r w:rsidR="005973B9">
        <w:rPr>
          <w:rFonts w:ascii="Arial"/>
        </w:rPr>
        <w:t xml:space="preserve"> </w:t>
      </w:r>
    </w:p>
    <w:p w:rsidR="002A786F" w:rsidRDefault="002A786F" w:rsidP="0092648B">
      <w:pPr>
        <w:pStyle w:val="BodyText"/>
        <w:spacing w:before="73" w:line="198" w:lineRule="exact"/>
        <w:ind w:left="100" w:right="4736"/>
        <w:rPr>
          <w:rFonts w:ascii="Arial"/>
        </w:rPr>
      </w:pPr>
      <w:r>
        <w:rPr>
          <w:rFonts w:ascii="Arial"/>
        </w:rPr>
        <w:t xml:space="preserve">Vahid Fathipour, DVSC, Paytakht Pet Hospital, Iran, Tehran </w:t>
      </w:r>
    </w:p>
    <w:p w:rsidR="002A786F" w:rsidRDefault="002A786F" w:rsidP="0092648B">
      <w:pPr>
        <w:pStyle w:val="BodyText"/>
        <w:spacing w:before="73" w:line="198" w:lineRule="exact"/>
        <w:ind w:left="100" w:right="5728"/>
        <w:rPr>
          <w:rFonts w:ascii="Arial"/>
        </w:rPr>
      </w:pPr>
      <w:r>
        <w:rPr>
          <w:rFonts w:ascii="Arial"/>
        </w:rPr>
        <w:t xml:space="preserve">Reza Youssefi, DVSC, Paytakht Pet Hospital, Iran, Tehran </w:t>
      </w:r>
    </w:p>
    <w:p w:rsidR="002A786F" w:rsidRDefault="002A786F" w:rsidP="002A786F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Mahan Bitaraf, Paytakht Pet Hospital, Iran, Tehran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0476D3" w:rsidRPr="00A1578E" w:rsidRDefault="00DB52EC" w:rsidP="00A1578E">
      <w:pPr>
        <w:pStyle w:val="Heading3"/>
        <w:rPr>
          <w:b w:val="0"/>
        </w:rPr>
      </w:pPr>
      <w:r>
        <w:rPr>
          <w:b w:val="0"/>
        </w:rPr>
        <w:t>A female Rottweiler 9-years old dog with anorexia, polydipsi</w:t>
      </w:r>
      <w:r w:rsidR="00C314E8">
        <w:rPr>
          <w:b w:val="0"/>
        </w:rPr>
        <w:t xml:space="preserve">a, polyuria, vaginal discharge was referred to Paytakht Pet Hospital. </w:t>
      </w:r>
      <w:r w:rsidR="000476D3">
        <w:rPr>
          <w:b w:val="0"/>
        </w:rPr>
        <w:t xml:space="preserve">After a precise clinical evaluation, the case was referred to perform abdominal radiography and sonography. A </w:t>
      </w:r>
      <w:r w:rsidR="000476D3" w:rsidRPr="000476D3">
        <w:rPr>
          <w:b w:val="0"/>
        </w:rPr>
        <w:t xml:space="preserve">well circumscribed but nonencapsulated </w:t>
      </w:r>
      <w:r w:rsidR="000476D3">
        <w:rPr>
          <w:b w:val="0"/>
        </w:rPr>
        <w:t xml:space="preserve">mass with 16×12 cm in size was detected in the cervix of the uterine. </w:t>
      </w:r>
      <w:r w:rsidR="00A1578E">
        <w:rPr>
          <w:b w:val="0"/>
        </w:rPr>
        <w:t xml:space="preserve">The mass had </w:t>
      </w:r>
      <w:r w:rsidR="00A1578E" w:rsidRPr="00A1578E">
        <w:rPr>
          <w:b w:val="0"/>
        </w:rPr>
        <w:t>hemorrhagic and necrotic</w:t>
      </w:r>
      <w:r w:rsidR="00A1578E">
        <w:rPr>
          <w:b w:val="0"/>
        </w:rPr>
        <w:t xml:space="preserve"> feature. The</w:t>
      </w:r>
      <w:r w:rsidR="000476D3">
        <w:rPr>
          <w:b w:val="0"/>
        </w:rPr>
        <w:t xml:space="preserve"> surgical procedure (OHE) was done and a mass was observed in the cervix. The mass was sent to pathology. </w:t>
      </w:r>
      <w:hyperlink r:id="rId9" w:history="1">
        <w:r w:rsidR="000476D3">
          <w:rPr>
            <w:b w:val="0"/>
          </w:rPr>
          <w:t>P</w:t>
        </w:r>
        <w:r w:rsidR="000476D3" w:rsidRPr="000476D3">
          <w:rPr>
            <w:b w:val="0"/>
          </w:rPr>
          <w:t>araffin-embedded tissue</w:t>
        </w:r>
      </w:hyperlink>
      <w:r w:rsidR="000476D3">
        <w:rPr>
          <w:b w:val="0"/>
        </w:rPr>
        <w:t xml:space="preserve"> sample was prepared and stained with H &amp; E. The sections </w:t>
      </w:r>
      <w:r w:rsidR="00A1578E">
        <w:rPr>
          <w:b w:val="0"/>
        </w:rPr>
        <w:t>were</w:t>
      </w:r>
      <w:r w:rsidR="000476D3">
        <w:rPr>
          <w:b w:val="0"/>
        </w:rPr>
        <w:t xml:space="preserve"> surveyed by clinical pathologist and fibrosarcoma was diagnosed. </w:t>
      </w:r>
      <w:r w:rsidR="00A1578E" w:rsidRPr="00A1578E">
        <w:rPr>
          <w:b w:val="0"/>
        </w:rPr>
        <w:t>Highly cellular fibroblastic proliferation in herringbone pattern</w:t>
      </w:r>
      <w:r w:rsidR="00A1578E">
        <w:rPr>
          <w:b w:val="0"/>
        </w:rPr>
        <w:t xml:space="preserve"> was observed and </w:t>
      </w:r>
      <w:r w:rsidR="00A1578E" w:rsidRPr="00A1578E">
        <w:rPr>
          <w:b w:val="0"/>
        </w:rPr>
        <w:t>cells ha</w:t>
      </w:r>
      <w:r w:rsidR="00A1578E">
        <w:rPr>
          <w:b w:val="0"/>
        </w:rPr>
        <w:t>d</w:t>
      </w:r>
      <w:r w:rsidR="00A1578E" w:rsidRPr="00A1578E">
        <w:rPr>
          <w:b w:val="0"/>
        </w:rPr>
        <w:t xml:space="preserve"> scant cytoplasm, tapering elongated dark nuclei with increased granular chromatin, variable nucleoli</w:t>
      </w:r>
      <w:r w:rsidR="00A1578E">
        <w:rPr>
          <w:b w:val="0"/>
        </w:rPr>
        <w:t>.</w:t>
      </w:r>
      <w:r w:rsidR="00A1578E" w:rsidRPr="00A1578E">
        <w:t xml:space="preserve"> </w:t>
      </w:r>
      <w:r w:rsidR="00A1578E" w:rsidRPr="00A1578E">
        <w:rPr>
          <w:b w:val="0"/>
        </w:rPr>
        <w:t xml:space="preserve">Mitotic activity </w:t>
      </w:r>
      <w:r w:rsidR="00D15314" w:rsidRPr="00A1578E">
        <w:rPr>
          <w:b w:val="0"/>
        </w:rPr>
        <w:t>presents</w:t>
      </w:r>
      <w:r w:rsidR="00A1578E">
        <w:rPr>
          <w:b w:val="0"/>
        </w:rPr>
        <w:t xml:space="preserve"> with normal forms.</w:t>
      </w:r>
    </w:p>
    <w:p w:rsidR="00AE3E37" w:rsidRDefault="000476D3" w:rsidP="00FB281C">
      <w:pPr>
        <w:pStyle w:val="Heading3"/>
        <w:spacing w:before="74"/>
        <w:ind w:left="0"/>
        <w:rPr>
          <w:color w:val="BF5A14"/>
        </w:rPr>
      </w:pPr>
      <w:r>
        <w:rPr>
          <w:b w:val="0"/>
        </w:rPr>
        <w:t xml:space="preserve"> </w:t>
      </w:r>
      <w:r w:rsidR="00FB281C">
        <w:rPr>
          <w:b w:val="0"/>
        </w:rPr>
        <w:t>In our knowledgement, this is first report of fibrosarcoma occurring in the cervix.</w:t>
      </w:r>
      <w:bookmarkStart w:id="0" w:name="_GoBack"/>
      <w:bookmarkEnd w:id="0"/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7A26A3" w:rsidRDefault="007A26A3">
      <w:pPr>
        <w:pStyle w:val="Heading3"/>
        <w:spacing w:before="74"/>
        <w:rPr>
          <w:color w:val="BF5A14"/>
        </w:rPr>
      </w:pPr>
    </w:p>
    <w:p w:rsidR="007A26A3" w:rsidRDefault="007A26A3">
      <w:pPr>
        <w:pStyle w:val="Heading3"/>
        <w:spacing w:before="74"/>
        <w:rPr>
          <w:color w:val="BF5A14"/>
        </w:rPr>
      </w:pP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216"/>
      </w:tblGrid>
      <w:tr w:rsidR="007A26A3" w:rsidTr="002500A6">
        <w:tc>
          <w:tcPr>
            <w:tcW w:w="2600" w:type="dxa"/>
          </w:tcPr>
          <w:p w:rsidR="007A26A3" w:rsidRDefault="007A26A3">
            <w:pPr>
              <w:pStyle w:val="Heading3"/>
              <w:spacing w:before="74"/>
              <w:ind w:left="0"/>
              <w:rPr>
                <w:color w:val="BF5A14"/>
              </w:rPr>
            </w:pPr>
            <w:r w:rsidRPr="007A26A3">
              <w:rPr>
                <w:b w:val="0"/>
                <w:noProof/>
                <w:sz w:val="18"/>
                <w:szCs w:val="22"/>
              </w:rPr>
              <w:t>A</w:t>
            </w:r>
            <w:r w:rsidRPr="001847D0">
              <w:rPr>
                <w:b w:val="0"/>
                <w:noProof/>
                <w:sz w:val="16"/>
              </w:rPr>
              <w:drawing>
                <wp:inline distT="0" distB="0" distL="0" distR="0" wp14:anchorId="67050A9C" wp14:editId="4774E607">
                  <wp:extent cx="1400175" cy="1866899"/>
                  <wp:effectExtent l="0" t="0" r="0" b="635"/>
                  <wp:docPr id="2" name="Picture 2" descr="C:\Users\Lab\Desktop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ab\Desktop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21" cy="1874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</w:tcPr>
          <w:p w:rsidR="007A26A3" w:rsidRPr="007A26A3" w:rsidRDefault="007A26A3">
            <w:pPr>
              <w:pStyle w:val="Heading3"/>
              <w:spacing w:before="74"/>
              <w:ind w:left="0"/>
              <w:rPr>
                <w:b w:val="0"/>
                <w:bCs w:val="0"/>
                <w:noProof/>
                <w:sz w:val="16"/>
              </w:rPr>
            </w:pPr>
            <w:r w:rsidRPr="007A26A3">
              <w:rPr>
                <w:b w:val="0"/>
                <w:bCs w:val="0"/>
              </w:rPr>
              <w:t>B</w:t>
            </w:r>
          </w:p>
          <w:p w:rsidR="007A26A3" w:rsidRDefault="007A26A3">
            <w:pPr>
              <w:pStyle w:val="Heading3"/>
              <w:spacing w:before="74"/>
              <w:ind w:left="0"/>
              <w:rPr>
                <w:color w:val="BF5A14"/>
              </w:rPr>
            </w:pPr>
            <w:r w:rsidRPr="007A26A3">
              <w:rPr>
                <w:b w:val="0"/>
                <w:noProof/>
                <w:sz w:val="16"/>
              </w:rPr>
              <w:drawing>
                <wp:inline distT="0" distB="0" distL="0" distR="0" wp14:anchorId="010C7210" wp14:editId="55808F33">
                  <wp:extent cx="2077413" cy="1809750"/>
                  <wp:effectExtent l="0" t="0" r="0" b="0"/>
                  <wp:docPr id="4" name="Picture 4" descr="C:\Users\Lab\Desktop\imag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ab\Desktop\imag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63" cy="1820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26A3" w:rsidRDefault="007A26A3">
      <w:pPr>
        <w:pStyle w:val="Heading3"/>
        <w:spacing w:before="74"/>
        <w:rPr>
          <w:color w:val="BF5A14"/>
        </w:rPr>
      </w:pPr>
    </w:p>
    <w:p w:rsidR="001847D0" w:rsidRDefault="001847D0" w:rsidP="001847D0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1847D0" w:rsidRDefault="007A26A3" w:rsidP="001847D0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A) </w:t>
      </w:r>
      <w:r w:rsidR="001847D0">
        <w:rPr>
          <w:rFonts w:ascii="Arial"/>
          <w:b/>
          <w:sz w:val="16"/>
        </w:rPr>
        <w:t xml:space="preserve">Macroscopic view of the mass in cervix </w:t>
      </w:r>
    </w:p>
    <w:p w:rsidR="007A26A3" w:rsidRDefault="007A26A3" w:rsidP="00C56B4B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B) </w:t>
      </w:r>
      <w:r w:rsidR="002500A6">
        <w:rPr>
          <w:rFonts w:ascii="Arial"/>
          <w:b/>
          <w:sz w:val="16"/>
        </w:rPr>
        <w:t xml:space="preserve">Spindle cells with </w:t>
      </w:r>
      <w:r w:rsidR="00C56B4B" w:rsidRPr="00C56B4B">
        <w:rPr>
          <w:rFonts w:ascii="Arial"/>
          <w:b/>
          <w:sz w:val="16"/>
        </w:rPr>
        <w:t>granular chromatin, variable nucleoli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15314" w:rsidRPr="00D15314" w:rsidRDefault="00D15314" w:rsidP="00D15314">
      <w:pPr>
        <w:widowControl/>
        <w:rPr>
          <w:rFonts w:ascii="Arial" w:eastAsia="Arial" w:hAnsi="Arial" w:cs="Arial"/>
          <w:bCs/>
          <w:sz w:val="16"/>
          <w:szCs w:val="16"/>
        </w:rPr>
      </w:pPr>
      <w:r>
        <w:rPr>
          <w:rFonts w:ascii="Arial" w:eastAsia="Arial" w:hAnsi="Arial" w:cs="Arial"/>
          <w:bCs/>
          <w:sz w:val="16"/>
          <w:szCs w:val="16"/>
        </w:rPr>
        <w:t xml:space="preserve">1. </w:t>
      </w:r>
      <w:r w:rsidRPr="00D15314">
        <w:rPr>
          <w:rFonts w:ascii="Arial" w:eastAsia="Arial" w:hAnsi="Arial" w:cs="Arial"/>
          <w:bCs/>
          <w:sz w:val="16"/>
          <w:szCs w:val="16"/>
        </w:rPr>
        <w:t>Maxie, Grant. Jubb, Kennedy &amp; Palmer's Pathology of Domestic Animals-E-Book. Vol. 3. Elsevier Health Sciences, 2015, pp: 380-402.</w:t>
      </w:r>
    </w:p>
    <w:p w:rsidR="00D15314" w:rsidRDefault="00D15314" w:rsidP="00D15314">
      <w:pPr>
        <w:rPr>
          <w:rFonts w:ascii="Arial" w:eastAsia="Arial" w:hAnsi="Arial" w:cs="Arial"/>
          <w:bCs/>
          <w:sz w:val="16"/>
          <w:szCs w:val="16"/>
        </w:rPr>
      </w:pPr>
      <w:r w:rsidRPr="00D15314">
        <w:rPr>
          <w:rFonts w:ascii="Arial" w:eastAsia="Arial" w:hAnsi="Arial" w:cs="Arial"/>
          <w:bCs/>
          <w:sz w:val="16"/>
          <w:szCs w:val="16"/>
        </w:rPr>
        <w:t>2. Nelson, Richard W., and C. Guillermo Couto. Small animal internal medicine.</w:t>
      </w:r>
      <w:r>
        <w:rPr>
          <w:rFonts w:ascii="Arial" w:eastAsia="Arial" w:hAnsi="Arial" w:cs="Arial"/>
          <w:bCs/>
          <w:sz w:val="16"/>
          <w:szCs w:val="16"/>
        </w:rPr>
        <w:t xml:space="preserve"> Elsevier Health Sciences, 2014, pp:885-981.</w:t>
      </w:r>
    </w:p>
    <w:p w:rsidR="002E3FD2" w:rsidRPr="002E3FD2" w:rsidRDefault="00D15314" w:rsidP="002E3FD2">
      <w:pPr>
        <w:rPr>
          <w:rFonts w:ascii="Arial" w:eastAsia="Arial" w:hAnsi="Arial" w:cs="Arial"/>
          <w:bCs/>
          <w:sz w:val="16"/>
          <w:szCs w:val="16"/>
        </w:rPr>
      </w:pPr>
      <w:r>
        <w:rPr>
          <w:rFonts w:ascii="Arial" w:eastAsia="Arial" w:hAnsi="Arial" w:cs="Arial"/>
          <w:bCs/>
          <w:sz w:val="16"/>
          <w:szCs w:val="16"/>
        </w:rPr>
        <w:t xml:space="preserve">3. </w:t>
      </w:r>
      <w:r w:rsidR="002E3FD2" w:rsidRPr="002E3FD2">
        <w:rPr>
          <w:rFonts w:ascii="Arial" w:eastAsia="Arial" w:hAnsi="Arial" w:cs="Arial"/>
          <w:bCs/>
          <w:sz w:val="16"/>
          <w:szCs w:val="16"/>
        </w:rPr>
        <w:t>McDonald, Leslie Ernest. "Veterinary endocrinology and reproduction." Veterinary endocrinology and reproduction. (1969).</w:t>
      </w:r>
    </w:p>
    <w:p w:rsidR="005B2ABD" w:rsidRDefault="002E3FD2" w:rsidP="005B2ABD">
      <w:pPr>
        <w:rPr>
          <w:rFonts w:ascii="Arial" w:eastAsia="Arial" w:hAnsi="Arial" w:cs="Arial"/>
          <w:bCs/>
          <w:sz w:val="16"/>
          <w:szCs w:val="16"/>
        </w:rPr>
      </w:pPr>
      <w:r>
        <w:rPr>
          <w:rFonts w:ascii="Arial" w:eastAsia="Arial" w:hAnsi="Arial" w:cs="Arial"/>
          <w:bCs/>
          <w:sz w:val="16"/>
          <w:szCs w:val="16"/>
        </w:rPr>
        <w:t xml:space="preserve">4. </w:t>
      </w:r>
      <w:r w:rsidR="005B2ABD" w:rsidRPr="005B2ABD">
        <w:rPr>
          <w:rFonts w:ascii="Arial" w:eastAsia="Arial" w:hAnsi="Arial" w:cs="Arial"/>
          <w:bCs/>
          <w:sz w:val="16"/>
          <w:szCs w:val="16"/>
        </w:rPr>
        <w:t>Morris, Joanna, and Jane Dobson. Small animal oncology. John Wiley &amp; Sons, 2008, pp:</w:t>
      </w:r>
      <w:r w:rsidR="005B2ABD">
        <w:rPr>
          <w:rFonts w:ascii="Arial" w:eastAsia="Arial" w:hAnsi="Arial" w:cs="Arial"/>
          <w:bCs/>
          <w:sz w:val="16"/>
          <w:szCs w:val="16"/>
        </w:rPr>
        <w:t>166-183.</w:t>
      </w:r>
    </w:p>
    <w:p w:rsidR="005B2ABD" w:rsidRPr="005B2ABD" w:rsidRDefault="005B2ABD" w:rsidP="005B2ABD">
      <w:pPr>
        <w:rPr>
          <w:rFonts w:ascii="Arial" w:eastAsia="Arial" w:hAnsi="Arial" w:cs="Arial"/>
          <w:bCs/>
          <w:sz w:val="16"/>
          <w:szCs w:val="16"/>
        </w:rPr>
      </w:pPr>
      <w:r>
        <w:rPr>
          <w:rFonts w:ascii="Arial" w:eastAsia="Arial" w:hAnsi="Arial" w:cs="Arial"/>
          <w:bCs/>
          <w:sz w:val="16"/>
          <w:szCs w:val="16"/>
        </w:rPr>
        <w:t>5.</w:t>
      </w:r>
      <w:r w:rsidRPr="005B2ABD">
        <w:rPr>
          <w:rFonts w:ascii="Arial" w:eastAsia="Arial" w:hAnsi="Arial" w:cs="Arial"/>
          <w:bCs/>
          <w:sz w:val="16"/>
          <w:szCs w:val="16"/>
        </w:rPr>
        <w:t xml:space="preserve"> Sapierzyński, R., et al. "Tumors of the urogenital system in dogs and cats. Retrospective review of 138 cases." Pol. J Vet. Sc 10 (2007): 97-103.</w:t>
      </w:r>
    </w:p>
    <w:p w:rsidR="005B2ABD" w:rsidRPr="005B2ABD" w:rsidRDefault="005B2ABD" w:rsidP="005B2ABD">
      <w:pPr>
        <w:rPr>
          <w:rFonts w:ascii="Arial" w:eastAsia="Arial" w:hAnsi="Arial" w:cs="Arial"/>
          <w:bCs/>
          <w:sz w:val="16"/>
          <w:szCs w:val="16"/>
        </w:rPr>
      </w:pPr>
    </w:p>
    <w:p w:rsidR="00D15314" w:rsidRPr="00D15314" w:rsidRDefault="00D15314" w:rsidP="00D15314">
      <w:pPr>
        <w:rPr>
          <w:rFonts w:ascii="Arial" w:eastAsia="Arial" w:hAnsi="Arial" w:cs="Arial"/>
          <w:bCs/>
          <w:sz w:val="16"/>
          <w:szCs w:val="16"/>
        </w:rPr>
      </w:pPr>
    </w:p>
    <w:p w:rsidR="00AE3E37" w:rsidRPr="008756E6" w:rsidRDefault="00AE3E37" w:rsidP="00D15314"/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D14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9710C" w:rsidP="005B394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B394D" w:rsidRPr="00202739">
          <w:rPr>
            <w:rStyle w:val="Hyperlink"/>
            <w:rFonts w:ascii="Arial"/>
            <w:sz w:val="14"/>
          </w:rPr>
          <w:t>Mh.kh212@gmail.com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9782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D57" w:rsidRDefault="00815D57">
      <w:r>
        <w:separator/>
      </w:r>
    </w:p>
  </w:endnote>
  <w:endnote w:type="continuationSeparator" w:id="0">
    <w:p w:rsidR="00815D57" w:rsidRDefault="0081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D57" w:rsidRDefault="00815D57">
      <w:r>
        <w:separator/>
      </w:r>
    </w:p>
  </w:footnote>
  <w:footnote w:type="continuationSeparator" w:id="0">
    <w:p w:rsidR="00815D57" w:rsidRDefault="00815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76D3"/>
    <w:rsid w:val="000E2911"/>
    <w:rsid w:val="001263DF"/>
    <w:rsid w:val="001847D0"/>
    <w:rsid w:val="002500A6"/>
    <w:rsid w:val="00292ED9"/>
    <w:rsid w:val="002A786F"/>
    <w:rsid w:val="002E3FD2"/>
    <w:rsid w:val="00404E5B"/>
    <w:rsid w:val="00414F7B"/>
    <w:rsid w:val="004355DC"/>
    <w:rsid w:val="004749B4"/>
    <w:rsid w:val="00494130"/>
    <w:rsid w:val="004F05B8"/>
    <w:rsid w:val="004F3523"/>
    <w:rsid w:val="0052084F"/>
    <w:rsid w:val="005973B9"/>
    <w:rsid w:val="005B2ABD"/>
    <w:rsid w:val="005B394D"/>
    <w:rsid w:val="005B3A56"/>
    <w:rsid w:val="006060CE"/>
    <w:rsid w:val="0063497F"/>
    <w:rsid w:val="007A26A3"/>
    <w:rsid w:val="00815D57"/>
    <w:rsid w:val="00873DF0"/>
    <w:rsid w:val="008756E6"/>
    <w:rsid w:val="0092648B"/>
    <w:rsid w:val="009B2D44"/>
    <w:rsid w:val="00A07E82"/>
    <w:rsid w:val="00A1578E"/>
    <w:rsid w:val="00A9710C"/>
    <w:rsid w:val="00AE3E37"/>
    <w:rsid w:val="00B21A57"/>
    <w:rsid w:val="00C314E8"/>
    <w:rsid w:val="00C33602"/>
    <w:rsid w:val="00C56B4B"/>
    <w:rsid w:val="00CB31FB"/>
    <w:rsid w:val="00CD6F55"/>
    <w:rsid w:val="00D15314"/>
    <w:rsid w:val="00DB52EC"/>
    <w:rsid w:val="00DE3104"/>
    <w:rsid w:val="00F72EEA"/>
    <w:rsid w:val="00F84CAE"/>
    <w:rsid w:val="00FB2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F6F37"/>
  <w15:docId w15:val="{30D72432-C248-43CE-85CE-57BC1132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7A2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8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h.kh21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jem.rupress.org/content/167/1/225.abstrac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Lab</cp:lastModifiedBy>
  <cp:revision>17</cp:revision>
  <dcterms:created xsi:type="dcterms:W3CDTF">2016-08-31T10:27:00Z</dcterms:created>
  <dcterms:modified xsi:type="dcterms:W3CDTF">2017-01-06T13:50:00Z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