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2A4513" w14:textId="1B64B8FA" w:rsidR="002B2AF0" w:rsidRPr="000D57FC" w:rsidRDefault="002B2AF0" w:rsidP="002B2AF0">
      <w:pPr>
        <w:jc w:val="both"/>
        <w:rPr>
          <w:rFonts w:ascii="Times" w:hAnsi="Times"/>
          <w:bCs/>
          <w:snapToGrid w:val="0"/>
        </w:rPr>
      </w:pPr>
      <w:r w:rsidRPr="000D57FC">
        <w:rPr>
          <w:rFonts w:ascii="Times" w:hAnsi="Times"/>
          <w:bCs/>
          <w:snapToGrid w:val="0"/>
        </w:rPr>
        <w:t>VCGs modulate innate and adaptive immunity to vaccine</w:t>
      </w:r>
      <w:r w:rsidRPr="000D57FC">
        <w:rPr>
          <w:rFonts w:ascii="Times" w:hAnsi="Times"/>
          <w:bCs/>
          <w:i/>
          <w:snapToGrid w:val="0"/>
        </w:rPr>
        <w:t xml:space="preserve"> </w:t>
      </w:r>
      <w:r w:rsidRPr="000D57FC">
        <w:rPr>
          <w:rFonts w:ascii="Times" w:hAnsi="Times"/>
          <w:bCs/>
          <w:snapToGrid w:val="0"/>
        </w:rPr>
        <w:t>antigens</w:t>
      </w:r>
    </w:p>
    <w:p w14:paraId="02190EBD" w14:textId="77777777" w:rsidR="002B2AF0" w:rsidRPr="000D57FC" w:rsidRDefault="002B2AF0" w:rsidP="002B2AF0">
      <w:pPr>
        <w:jc w:val="both"/>
        <w:rPr>
          <w:rFonts w:ascii="Times" w:hAnsi="Times"/>
          <w:bCs/>
          <w:snapToGrid w:val="0"/>
        </w:rPr>
      </w:pPr>
    </w:p>
    <w:p w14:paraId="18A8B642" w14:textId="77777777" w:rsidR="002B2AF0" w:rsidRPr="000D57FC" w:rsidRDefault="002B2AF0" w:rsidP="002B2AF0">
      <w:pPr>
        <w:rPr>
          <w:rFonts w:ascii="Times" w:hAnsi="Times"/>
          <w:snapToGrid w:val="0"/>
        </w:rPr>
      </w:pPr>
      <w:r w:rsidRPr="000D57FC">
        <w:rPr>
          <w:rFonts w:ascii="Times" w:hAnsi="Times"/>
          <w:bCs/>
          <w:snapToGrid w:val="0"/>
          <w:u w:val="single"/>
        </w:rPr>
        <w:t>Yusuf Omosun</w:t>
      </w:r>
      <w:r w:rsidRPr="000D57FC">
        <w:rPr>
          <w:rFonts w:ascii="Times" w:hAnsi="Times"/>
          <w:bCs/>
          <w:snapToGrid w:val="0"/>
          <w:vertAlign w:val="superscript"/>
        </w:rPr>
        <w:t>1</w:t>
      </w:r>
      <w:r w:rsidRPr="000D57FC">
        <w:rPr>
          <w:rFonts w:ascii="Times" w:hAnsi="Times"/>
          <w:bCs/>
          <w:snapToGrid w:val="0"/>
        </w:rPr>
        <w:t>,</w:t>
      </w:r>
      <w:r w:rsidRPr="000D57FC">
        <w:rPr>
          <w:rFonts w:ascii="Times" w:hAnsi="Times"/>
          <w:b/>
          <w:bCs/>
          <w:snapToGrid w:val="0"/>
        </w:rPr>
        <w:t xml:space="preserve"> </w:t>
      </w:r>
      <w:r w:rsidRPr="000D57FC">
        <w:rPr>
          <w:rFonts w:ascii="Times" w:hAnsi="Times"/>
          <w:bCs/>
          <w:snapToGrid w:val="0"/>
        </w:rPr>
        <w:t>Q. He</w:t>
      </w:r>
      <w:r w:rsidRPr="000D57FC">
        <w:rPr>
          <w:rFonts w:ascii="Times" w:hAnsi="Times"/>
          <w:bCs/>
          <w:snapToGrid w:val="0"/>
          <w:vertAlign w:val="superscript"/>
        </w:rPr>
        <w:t>1</w:t>
      </w:r>
      <w:r w:rsidRPr="000D57FC">
        <w:rPr>
          <w:rFonts w:ascii="Times" w:hAnsi="Times"/>
          <w:bCs/>
          <w:snapToGrid w:val="0"/>
        </w:rPr>
        <w:t>, J. U. Igietseme</w:t>
      </w:r>
      <w:r w:rsidRPr="000D57FC">
        <w:rPr>
          <w:rFonts w:ascii="Times" w:hAnsi="Times"/>
          <w:bCs/>
          <w:snapToGrid w:val="0"/>
          <w:vertAlign w:val="superscript"/>
        </w:rPr>
        <w:t>1, 2</w:t>
      </w:r>
      <w:r w:rsidRPr="000D57FC">
        <w:rPr>
          <w:rFonts w:ascii="Times" w:hAnsi="Times"/>
          <w:bCs/>
          <w:snapToGrid w:val="0"/>
        </w:rPr>
        <w:t xml:space="preserve"> and F. O. Eko</w:t>
      </w:r>
      <w:r w:rsidRPr="000D57FC">
        <w:rPr>
          <w:rFonts w:ascii="Times" w:hAnsi="Times"/>
          <w:bCs/>
          <w:snapToGrid w:val="0"/>
          <w:vertAlign w:val="superscript"/>
        </w:rPr>
        <w:t>1</w:t>
      </w:r>
      <w:r w:rsidRPr="000D57FC">
        <w:rPr>
          <w:rFonts w:ascii="Times" w:hAnsi="Times"/>
          <w:bCs/>
          <w:snapToGrid w:val="0"/>
        </w:rPr>
        <w:t xml:space="preserve">. </w:t>
      </w:r>
      <w:r w:rsidRPr="000D57FC">
        <w:rPr>
          <w:rFonts w:ascii="Times" w:hAnsi="Times"/>
          <w:bCs/>
          <w:vertAlign w:val="superscript"/>
        </w:rPr>
        <w:t>1</w:t>
      </w:r>
      <w:r w:rsidRPr="000D57FC">
        <w:rPr>
          <w:rFonts w:ascii="Times" w:hAnsi="Times"/>
          <w:bCs/>
        </w:rPr>
        <w:t xml:space="preserve">Morehouse School of Medicine, Atlanta, GA, USA and </w:t>
      </w:r>
      <w:r w:rsidRPr="000D57FC">
        <w:rPr>
          <w:rFonts w:ascii="Times" w:hAnsi="Times"/>
          <w:bCs/>
          <w:vertAlign w:val="superscript"/>
        </w:rPr>
        <w:t>2</w:t>
      </w:r>
      <w:r w:rsidRPr="000D57FC">
        <w:rPr>
          <w:rFonts w:ascii="Times" w:hAnsi="Times"/>
          <w:bCs/>
        </w:rPr>
        <w:t>Centers for Disease Control (CDC), Atlanta, GA</w:t>
      </w:r>
    </w:p>
    <w:p w14:paraId="6A8F0417" w14:textId="77777777" w:rsidR="00AE3E37" w:rsidRPr="000D57FC" w:rsidRDefault="00AE3E37">
      <w:pPr>
        <w:pStyle w:val="BodyText"/>
        <w:rPr>
          <w:rFonts w:ascii="Times" w:hAnsi="Times"/>
          <w:sz w:val="22"/>
          <w:szCs w:val="22"/>
        </w:rPr>
      </w:pPr>
    </w:p>
    <w:p w14:paraId="0B9CDF85" w14:textId="77777777" w:rsidR="00AE3E37" w:rsidRPr="000D57FC" w:rsidRDefault="00AE3E37">
      <w:pPr>
        <w:pStyle w:val="BodyText"/>
        <w:spacing w:before="3"/>
        <w:rPr>
          <w:rFonts w:ascii="Times" w:hAnsi="Times"/>
          <w:sz w:val="22"/>
          <w:szCs w:val="22"/>
        </w:rPr>
      </w:pPr>
    </w:p>
    <w:p w14:paraId="1C3799C8" w14:textId="77777777" w:rsidR="00AE3E37" w:rsidRPr="000D57FC" w:rsidRDefault="00AE3E37">
      <w:pPr>
        <w:rPr>
          <w:rFonts w:ascii="Times" w:hAnsi="Times"/>
        </w:rPr>
        <w:sectPr w:rsidR="00AE3E37" w:rsidRPr="000D57FC">
          <w:headerReference w:type="default" r:id="rId7"/>
          <w:footerReference w:type="default" r:id="rId8"/>
          <w:type w:val="continuous"/>
          <w:pgSz w:w="11910" w:h="16840"/>
          <w:pgMar w:top="1740" w:right="600" w:bottom="840" w:left="620" w:header="541" w:footer="642" w:gutter="0"/>
          <w:cols w:space="720"/>
        </w:sectPr>
      </w:pPr>
    </w:p>
    <w:p w14:paraId="1C13446E" w14:textId="2BEE2D07" w:rsidR="00AE3E37" w:rsidRPr="000D57FC" w:rsidRDefault="00A9710C" w:rsidP="000D57FC">
      <w:pPr>
        <w:pStyle w:val="Heading3"/>
        <w:spacing w:before="147"/>
        <w:ind w:left="0"/>
        <w:jc w:val="both"/>
        <w:rPr>
          <w:rFonts w:ascii="Times" w:hAnsi="Times"/>
          <w:sz w:val="22"/>
          <w:szCs w:val="22"/>
        </w:rPr>
      </w:pPr>
      <w:r w:rsidRPr="000D57FC">
        <w:rPr>
          <w:rFonts w:ascii="Times" w:hAnsi="Times"/>
          <w:color w:val="BF5A14"/>
          <w:sz w:val="22"/>
          <w:szCs w:val="22"/>
        </w:rPr>
        <w:lastRenderedPageBreak/>
        <w:t>Abstract</w:t>
      </w:r>
      <w:r w:rsidR="00404E5B" w:rsidRPr="000D57FC">
        <w:rPr>
          <w:rFonts w:ascii="Times" w:hAnsi="Times"/>
          <w:color w:val="BF5A14"/>
          <w:sz w:val="22"/>
          <w:szCs w:val="22"/>
        </w:rPr>
        <w:t xml:space="preserve"> </w:t>
      </w:r>
    </w:p>
    <w:p w14:paraId="26862066" w14:textId="77777777" w:rsidR="002B2AF0" w:rsidRPr="000D57FC" w:rsidRDefault="002B2AF0" w:rsidP="002B2AF0">
      <w:pPr>
        <w:autoSpaceDE w:val="0"/>
        <w:autoSpaceDN w:val="0"/>
        <w:adjustRightInd w:val="0"/>
        <w:jc w:val="both"/>
        <w:rPr>
          <w:rFonts w:ascii="Times" w:hAnsi="Times"/>
        </w:rPr>
      </w:pPr>
      <w:r w:rsidRPr="000D57FC">
        <w:rPr>
          <w:rFonts w:ascii="Times" w:hAnsi="Times"/>
          <w:b/>
          <w:bCs/>
        </w:rPr>
        <w:t>Statement of the Problem:</w:t>
      </w:r>
      <w:r w:rsidRPr="000D57FC">
        <w:rPr>
          <w:rFonts w:ascii="Times" w:hAnsi="Times"/>
          <w:bCs/>
        </w:rPr>
        <w:t xml:space="preserve"> Vaccination strategies utilizing subunit antigens often rely on the incorporation of effective adjuvants to modulate immune responses. </w:t>
      </w:r>
      <w:r w:rsidRPr="000D57FC">
        <w:rPr>
          <w:rFonts w:ascii="Times" w:hAnsi="Times"/>
          <w:i/>
        </w:rPr>
        <w:t>Vibrio cholerae</w:t>
      </w:r>
      <w:r w:rsidRPr="000D57FC">
        <w:rPr>
          <w:rFonts w:ascii="Times" w:hAnsi="Times"/>
        </w:rPr>
        <w:t xml:space="preserve"> ghosts (VCGs; genetically derived empty </w:t>
      </w:r>
      <w:r w:rsidRPr="000D57FC">
        <w:rPr>
          <w:rFonts w:ascii="Times" w:hAnsi="Times"/>
          <w:i/>
          <w:iCs/>
        </w:rPr>
        <w:t>V. cholerae</w:t>
      </w:r>
      <w:r w:rsidRPr="000D57FC">
        <w:rPr>
          <w:rFonts w:ascii="Times" w:hAnsi="Times"/>
        </w:rPr>
        <w:t xml:space="preserve"> cell envelopes) constitute an effective delivery system that promotes the induction of protective immunity in the absence of external adjuvants.</w:t>
      </w:r>
      <w:r w:rsidRPr="000D57FC">
        <w:rPr>
          <w:rFonts w:ascii="Times" w:hAnsi="Times"/>
          <w:bCs/>
        </w:rPr>
        <w:t xml:space="preserve"> </w:t>
      </w:r>
      <w:r w:rsidRPr="000D57FC">
        <w:rPr>
          <w:rFonts w:ascii="Times" w:hAnsi="Times"/>
        </w:rPr>
        <w:t xml:space="preserve">However, the mechanism by which VCGs enhance immunity has not been elucidated. We hypothesized that the immunostimulatory ability of VCGs involves dendritic cell (DC) activation and function. Thus, we evaluated the immunomodulatory effect of VCGs on the induction of innate </w:t>
      </w:r>
      <w:r w:rsidRPr="000D57FC">
        <w:rPr>
          <w:rFonts w:ascii="Times" w:hAnsi="Times"/>
          <w:bCs/>
          <w:snapToGrid w:val="0"/>
        </w:rPr>
        <w:t xml:space="preserve">and adaptive </w:t>
      </w:r>
      <w:r w:rsidRPr="000D57FC">
        <w:rPr>
          <w:rFonts w:ascii="Times" w:hAnsi="Times"/>
        </w:rPr>
        <w:t xml:space="preserve">immune responses. </w:t>
      </w:r>
      <w:r w:rsidRPr="000D57FC">
        <w:rPr>
          <w:rFonts w:ascii="Times" w:hAnsi="Times"/>
          <w:b/>
        </w:rPr>
        <w:t>Methodology &amp; Theoretical Orientation:</w:t>
      </w:r>
      <w:r w:rsidRPr="000D57FC">
        <w:rPr>
          <w:rFonts w:ascii="Times" w:hAnsi="Times"/>
        </w:rPr>
        <w:t xml:space="preserve"> Mouse bone marrow-derived DCs (BMDCs) co-cultured with VCGs or </w:t>
      </w:r>
      <w:r w:rsidRPr="000D57FC">
        <w:rPr>
          <w:rFonts w:ascii="Times" w:hAnsi="Times"/>
          <w:bCs/>
        </w:rPr>
        <w:t xml:space="preserve">UV-irradiated </w:t>
      </w:r>
      <w:r w:rsidRPr="000D57FC">
        <w:rPr>
          <w:rFonts w:ascii="Times" w:hAnsi="Times"/>
          <w:bCs/>
          <w:i/>
        </w:rPr>
        <w:t xml:space="preserve">Chlamydia </w:t>
      </w:r>
      <w:r w:rsidRPr="000D57FC">
        <w:rPr>
          <w:rFonts w:ascii="Times" w:hAnsi="Times"/>
          <w:bCs/>
        </w:rPr>
        <w:t xml:space="preserve">elementary bodies (UV-EBs) </w:t>
      </w:r>
      <w:r w:rsidRPr="000D57FC">
        <w:rPr>
          <w:rFonts w:ascii="Times" w:hAnsi="Times"/>
        </w:rPr>
        <w:t xml:space="preserve">were stained with monoclonal antibodies against co-stimulatory molecules and surface expression was analyzed by flow cytometry. The magnitude of cytokines secreted by culture supernatants or splenocyte-stimulated cultures was analyzed by cytokine ELISA. Furthermore, the ability of VCG-pulsed DCs </w:t>
      </w:r>
      <w:r w:rsidRPr="000D57FC">
        <w:rPr>
          <w:rFonts w:ascii="Times" w:hAnsi="Times"/>
          <w:bCs/>
        </w:rPr>
        <w:t xml:space="preserve">to </w:t>
      </w:r>
      <w:r w:rsidRPr="000D57FC">
        <w:rPr>
          <w:rFonts w:ascii="Times" w:hAnsi="Times"/>
        </w:rPr>
        <w:t xml:space="preserve">present chlamydial antigen to </w:t>
      </w:r>
      <w:r w:rsidRPr="000D57FC">
        <w:rPr>
          <w:rFonts w:ascii="Times" w:hAnsi="Times"/>
          <w:iCs/>
        </w:rPr>
        <w:t>infection</w:t>
      </w:r>
      <w:r w:rsidRPr="000D57FC">
        <w:rPr>
          <w:rFonts w:ascii="Times" w:hAnsi="Times"/>
        </w:rPr>
        <w:t xml:space="preserve">-sensitized CD4+ </w:t>
      </w:r>
      <w:r w:rsidRPr="000D57FC">
        <w:rPr>
          <w:rFonts w:ascii="Times" w:hAnsi="Times"/>
          <w:bCs/>
        </w:rPr>
        <w:t xml:space="preserve">T cells </w:t>
      </w:r>
      <w:r w:rsidRPr="000D57FC">
        <w:rPr>
          <w:rFonts w:ascii="Times" w:hAnsi="Times"/>
        </w:rPr>
        <w:t>and enhance the</w:t>
      </w:r>
      <w:r w:rsidRPr="000D57FC">
        <w:rPr>
          <w:rFonts w:ascii="Times" w:hAnsi="Times"/>
          <w:bCs/>
        </w:rPr>
        <w:t xml:space="preserve"> protective immunity of a chlamydial antigen were also evaluated.</w:t>
      </w:r>
      <w:r w:rsidRPr="000D57FC">
        <w:rPr>
          <w:rFonts w:ascii="Times" w:hAnsi="Times"/>
        </w:rPr>
        <w:t xml:space="preserve"> </w:t>
      </w:r>
      <w:r w:rsidRPr="000D57FC">
        <w:rPr>
          <w:rFonts w:ascii="Times" w:hAnsi="Times"/>
          <w:b/>
        </w:rPr>
        <w:t>Findings:</w:t>
      </w:r>
      <w:r w:rsidRPr="000D57FC">
        <w:rPr>
          <w:rFonts w:ascii="Times" w:hAnsi="Times"/>
        </w:rPr>
        <w:t xml:space="preserve"> The results showed that </w:t>
      </w:r>
      <w:r w:rsidRPr="000D57FC">
        <w:rPr>
          <w:rFonts w:ascii="Times" w:hAnsi="Times"/>
          <w:bCs/>
        </w:rPr>
        <w:t>VCG-pulsed</w:t>
      </w:r>
      <w:r w:rsidRPr="000D57FC">
        <w:rPr>
          <w:rFonts w:ascii="Times" w:hAnsi="Times"/>
        </w:rPr>
        <w:t xml:space="preserve"> DCs had increased </w:t>
      </w:r>
      <w:r w:rsidRPr="000D57FC">
        <w:rPr>
          <w:rFonts w:ascii="Times" w:hAnsi="Times"/>
          <w:bCs/>
        </w:rPr>
        <w:t>secretion of proinflammatory cytokines</w:t>
      </w:r>
      <w:r w:rsidRPr="000D57FC">
        <w:rPr>
          <w:rFonts w:ascii="Times" w:hAnsi="Times"/>
        </w:rPr>
        <w:t xml:space="preserve"> </w:t>
      </w:r>
      <w:r w:rsidRPr="000D57FC">
        <w:rPr>
          <w:rFonts w:ascii="Times" w:hAnsi="Times"/>
          <w:bCs/>
        </w:rPr>
        <w:t>and</w:t>
      </w:r>
      <w:r w:rsidRPr="000D57FC">
        <w:rPr>
          <w:rFonts w:ascii="Times" w:hAnsi="Times"/>
        </w:rPr>
        <w:t xml:space="preserve"> expression of co-stimulatory molecules associated with DC maturation</w:t>
      </w:r>
      <w:r w:rsidRPr="000D57FC">
        <w:rPr>
          <w:rFonts w:ascii="Times" w:hAnsi="Times"/>
          <w:bCs/>
        </w:rPr>
        <w:t xml:space="preserve"> in response to stimulation with</w:t>
      </w:r>
      <w:r w:rsidRPr="000D57FC">
        <w:rPr>
          <w:rFonts w:ascii="Times" w:hAnsi="Times"/>
        </w:rPr>
        <w:t xml:space="preserve"> UV-EB. </w:t>
      </w:r>
      <w:r w:rsidRPr="000D57FC">
        <w:rPr>
          <w:rFonts w:ascii="Times" w:hAnsi="Times"/>
          <w:bCs/>
          <w:iCs/>
        </w:rPr>
        <w:t xml:space="preserve">Also, </w:t>
      </w:r>
      <w:r w:rsidRPr="000D57FC">
        <w:rPr>
          <w:rFonts w:ascii="Times" w:hAnsi="Times"/>
        </w:rPr>
        <w:t xml:space="preserve">co-culture of </w:t>
      </w:r>
      <w:r w:rsidRPr="000D57FC">
        <w:rPr>
          <w:rFonts w:ascii="Times" w:hAnsi="Times"/>
          <w:bCs/>
        </w:rPr>
        <w:t xml:space="preserve">VCGs with </w:t>
      </w:r>
      <w:r w:rsidRPr="000D57FC">
        <w:rPr>
          <w:rFonts w:ascii="Times" w:hAnsi="Times"/>
        </w:rPr>
        <w:t>DCs</w:t>
      </w:r>
      <w:r w:rsidRPr="000D57FC">
        <w:rPr>
          <w:rFonts w:ascii="Times" w:hAnsi="Times"/>
          <w:bCs/>
          <w:iCs/>
        </w:rPr>
        <w:t xml:space="preserve"> </w:t>
      </w:r>
      <w:r w:rsidRPr="000D57FC">
        <w:rPr>
          <w:rFonts w:ascii="Times" w:hAnsi="Times"/>
        </w:rPr>
        <w:t xml:space="preserve">resulted in effective </w:t>
      </w:r>
      <w:r w:rsidRPr="000D57FC">
        <w:rPr>
          <w:rFonts w:ascii="Times" w:hAnsi="Times"/>
          <w:bCs/>
        </w:rPr>
        <w:t xml:space="preserve">chlamydial antigen presentation </w:t>
      </w:r>
      <w:r w:rsidRPr="000D57FC">
        <w:rPr>
          <w:rFonts w:ascii="Times" w:hAnsi="Times"/>
        </w:rPr>
        <w:t xml:space="preserve">and enhancement of protective immunity. </w:t>
      </w:r>
      <w:r w:rsidRPr="000D57FC">
        <w:rPr>
          <w:rFonts w:ascii="Times" w:hAnsi="Times"/>
          <w:b/>
        </w:rPr>
        <w:t>Conclusion &amp; Significance:</w:t>
      </w:r>
      <w:r w:rsidRPr="000D57FC">
        <w:rPr>
          <w:rFonts w:ascii="Times" w:hAnsi="Times"/>
        </w:rPr>
        <w:t xml:space="preserve"> These results demonstrate that VCGs activate the maturation of DCs leading to enhancement of innate and adaptive immunity to a co-delivered antigen. The results highlight the potential of the VCGs as immunomodulators for enhancement of protective immunity against microbial infections. </w:t>
      </w:r>
    </w:p>
    <w:p w14:paraId="4593DA30" w14:textId="2CA84B48" w:rsidR="00AE3E37" w:rsidRPr="000D57FC" w:rsidRDefault="00AE3E37">
      <w:pPr>
        <w:pStyle w:val="BodyText"/>
        <w:spacing w:before="2"/>
        <w:rPr>
          <w:rFonts w:ascii="Times" w:hAnsi="Times"/>
          <w:b/>
          <w:sz w:val="22"/>
          <w:szCs w:val="22"/>
        </w:rPr>
      </w:pPr>
    </w:p>
    <w:p w14:paraId="54262DB1" w14:textId="0F6EE259" w:rsidR="00AE3E37" w:rsidRPr="000D57FC" w:rsidRDefault="00414F7B" w:rsidP="000D57FC">
      <w:pPr>
        <w:spacing w:before="157"/>
        <w:ind w:left="100" w:firstLine="260"/>
        <w:rPr>
          <w:rFonts w:ascii="Times" w:hAnsi="Times"/>
          <w:b/>
        </w:rPr>
      </w:pPr>
      <w:r w:rsidRPr="000D57FC">
        <w:rPr>
          <w:rFonts w:ascii="Times" w:hAnsi="Times"/>
          <w:b/>
          <w:color w:val="BF5A14"/>
        </w:rPr>
        <w:lastRenderedPageBreak/>
        <w:t>Recent publi</w:t>
      </w:r>
      <w:r w:rsidR="00C33602" w:rsidRPr="000D57FC">
        <w:rPr>
          <w:rFonts w:ascii="Times" w:hAnsi="Times"/>
          <w:b/>
          <w:color w:val="BF5A14"/>
        </w:rPr>
        <w:t xml:space="preserve">cations </w:t>
      </w:r>
    </w:p>
    <w:p w14:paraId="1D1F7442" w14:textId="77777777" w:rsidR="009B597B" w:rsidRPr="000D57FC" w:rsidRDefault="009B597B" w:rsidP="009B597B">
      <w:pPr>
        <w:widowControl/>
        <w:numPr>
          <w:ilvl w:val="0"/>
          <w:numId w:val="3"/>
        </w:numPr>
        <w:contextualSpacing/>
        <w:rPr>
          <w:rFonts w:ascii="Times" w:hAnsi="Times" w:cs="Arial"/>
          <w:bCs/>
        </w:rPr>
      </w:pPr>
      <w:r w:rsidRPr="000D57FC">
        <w:rPr>
          <w:rFonts w:ascii="Times" w:hAnsi="Times" w:cs="Arial"/>
          <w:bCs/>
        </w:rPr>
        <w:t xml:space="preserve">Igietseme JU, </w:t>
      </w:r>
      <w:r w:rsidRPr="000D57FC">
        <w:rPr>
          <w:rFonts w:ascii="Times" w:hAnsi="Times" w:cs="Arial"/>
          <w:b/>
          <w:bCs/>
        </w:rPr>
        <w:t>Omosun Y</w:t>
      </w:r>
      <w:r w:rsidRPr="000D57FC">
        <w:rPr>
          <w:rFonts w:ascii="Times" w:hAnsi="Times" w:cs="Arial"/>
          <w:bCs/>
        </w:rPr>
        <w:t>, Partin J, Goldstein J, He Q, Joseph K, Ellerson D, Ansari U, Eko FO, Bandea C, Zhong G, Black CM (2013</w:t>
      </w:r>
      <w:r w:rsidRPr="000D57FC">
        <w:rPr>
          <w:rFonts w:ascii="Times" w:hAnsi="Times" w:cs="Arial"/>
          <w:bCs/>
          <w:i/>
        </w:rPr>
        <w:t>)</w:t>
      </w:r>
      <w:r w:rsidRPr="000D57FC">
        <w:rPr>
          <w:rStyle w:val="Emphasis"/>
          <w:rFonts w:ascii="Times" w:hAnsi="Times" w:cs="Arial"/>
          <w:bCs/>
        </w:rPr>
        <w:t xml:space="preserve"> </w:t>
      </w:r>
      <w:r w:rsidRPr="000D57FC">
        <w:rPr>
          <w:rStyle w:val="Emphasis"/>
          <w:rFonts w:ascii="Times" w:hAnsi="Times" w:cs="Arial"/>
          <w:bCs/>
          <w:i w:val="0"/>
        </w:rPr>
        <w:t xml:space="preserve">Prevention of Chlamydia-induced infertility by inhibition of local caspase activity. </w:t>
      </w:r>
      <w:r w:rsidRPr="000D57FC">
        <w:rPr>
          <w:rFonts w:ascii="Times" w:hAnsi="Times" w:cs="Arial"/>
          <w:bCs/>
          <w:i/>
        </w:rPr>
        <w:t xml:space="preserve">J. Infect. Dis. </w:t>
      </w:r>
      <w:r w:rsidRPr="000D57FC">
        <w:rPr>
          <w:rFonts w:ascii="Times" w:hAnsi="Times" w:cs="Arial"/>
          <w:i/>
        </w:rPr>
        <w:t>207</w:t>
      </w:r>
      <w:r w:rsidRPr="000D57FC">
        <w:rPr>
          <w:rFonts w:ascii="Times" w:hAnsi="Times" w:cs="Arial"/>
        </w:rPr>
        <w:t xml:space="preserve"> (7): 1095-104.</w:t>
      </w:r>
      <w:r w:rsidRPr="000D57FC" w:rsidDel="003834AD">
        <w:rPr>
          <w:rFonts w:ascii="Times" w:hAnsi="Times" w:cs="Arial"/>
          <w:bCs/>
        </w:rPr>
        <w:t xml:space="preserve"> </w:t>
      </w:r>
    </w:p>
    <w:p w14:paraId="5ABBD53A" w14:textId="77777777" w:rsidR="009B597B" w:rsidRPr="000D57FC" w:rsidRDefault="009B597B" w:rsidP="009B597B">
      <w:pPr>
        <w:pStyle w:val="ListParagraph"/>
        <w:widowControl/>
        <w:numPr>
          <w:ilvl w:val="0"/>
          <w:numId w:val="3"/>
        </w:numPr>
        <w:shd w:val="clear" w:color="auto" w:fill="FFFFFF"/>
        <w:spacing w:before="0" w:line="240" w:lineRule="auto"/>
        <w:ind w:right="225"/>
        <w:contextualSpacing/>
        <w:jc w:val="left"/>
        <w:rPr>
          <w:rFonts w:ascii="Times" w:eastAsia="Times New Roman" w:hAnsi="Times" w:cs="Arial"/>
          <w:b/>
          <w:bCs/>
          <w:lang w:val="x-none" w:eastAsia="x-none"/>
        </w:rPr>
      </w:pPr>
      <w:r w:rsidRPr="000D57FC">
        <w:rPr>
          <w:rFonts w:ascii="Times" w:hAnsi="Times" w:cs="Arial"/>
        </w:rPr>
        <w:t xml:space="preserve">Pan Q, Pais R, Ohandjo A, He C, He Q, </w:t>
      </w:r>
      <w:r w:rsidRPr="000D57FC">
        <w:rPr>
          <w:rFonts w:ascii="Times" w:hAnsi="Times" w:cs="Arial"/>
          <w:b/>
          <w:bCs/>
        </w:rPr>
        <w:t>Omosun</w:t>
      </w:r>
      <w:r w:rsidRPr="000D57FC">
        <w:rPr>
          <w:rFonts w:ascii="Times" w:hAnsi="Times" w:cs="Arial"/>
          <w:b/>
        </w:rPr>
        <w:t xml:space="preserve"> Y</w:t>
      </w:r>
      <w:r w:rsidRPr="000D57FC">
        <w:rPr>
          <w:rFonts w:ascii="Times" w:hAnsi="Times" w:cs="Arial"/>
        </w:rPr>
        <w:t xml:space="preserve">, Igietseme JU, Eko FO. (2015) </w:t>
      </w:r>
      <w:hyperlink r:id="rId9" w:history="1">
        <w:r w:rsidRPr="000D57FC">
          <w:rPr>
            <w:rFonts w:ascii="Times" w:hAnsi="Times" w:cs="Arial"/>
          </w:rPr>
          <w:t>Comparative evaluation of the protective efficacy of two formulations of a recombinant Chlamydia abortus subunit candidate vaccine in a mouse model.</w:t>
        </w:r>
      </w:hyperlink>
      <w:r w:rsidRPr="000D57FC">
        <w:rPr>
          <w:rFonts w:ascii="Times" w:hAnsi="Times" w:cs="Arial"/>
        </w:rPr>
        <w:t xml:space="preserve"> Vaccine. pii: S0264-410X(15)00173-5. doi:10.1016/j.vaccine.2015.02.007. </w:t>
      </w:r>
    </w:p>
    <w:p w14:paraId="72EFF652" w14:textId="77777777" w:rsidR="009B597B" w:rsidRPr="000D57FC" w:rsidRDefault="009B597B" w:rsidP="009B597B">
      <w:pPr>
        <w:pStyle w:val="ListParagraph"/>
        <w:widowControl/>
        <w:numPr>
          <w:ilvl w:val="0"/>
          <w:numId w:val="3"/>
        </w:numPr>
        <w:shd w:val="clear" w:color="auto" w:fill="FFFFFF"/>
        <w:spacing w:before="0" w:line="240" w:lineRule="auto"/>
        <w:ind w:right="225"/>
        <w:contextualSpacing/>
        <w:jc w:val="left"/>
        <w:rPr>
          <w:rFonts w:ascii="Times" w:eastAsia="Times New Roman" w:hAnsi="Times" w:cs="Arial"/>
          <w:b/>
          <w:bCs/>
          <w:lang w:val="x-none" w:eastAsia="x-none"/>
        </w:rPr>
      </w:pPr>
      <w:r w:rsidRPr="000D57FC">
        <w:rPr>
          <w:rFonts w:ascii="Times" w:eastAsia="Times New Roman" w:hAnsi="Times" w:cs="Arial"/>
        </w:rPr>
        <w:t>Igietseme JU, </w:t>
      </w:r>
      <w:r w:rsidRPr="000D57FC">
        <w:rPr>
          <w:rFonts w:ascii="Times" w:eastAsia="Times New Roman" w:hAnsi="Times" w:cs="Arial"/>
          <w:b/>
          <w:bCs/>
        </w:rPr>
        <w:t>Omosun</w:t>
      </w:r>
      <w:r w:rsidRPr="000D57FC">
        <w:rPr>
          <w:rFonts w:ascii="Times" w:eastAsia="Times New Roman" w:hAnsi="Times" w:cs="Arial"/>
        </w:rPr>
        <w:t xml:space="preserve"> Y, Stuchlik O, Reed MS, Partin J, He Q, Joseph K, Ellerson D, Bollweg B, George Z, Eko FO, Bandea C, Liu H, Yang G, Shieh WJ, Pohl J, Karem K, Black CM. (2015) </w:t>
      </w:r>
      <w:hyperlink r:id="rId10" w:history="1">
        <w:r w:rsidRPr="000D57FC">
          <w:rPr>
            <w:rFonts w:ascii="Times" w:eastAsia="Times New Roman" w:hAnsi="Times" w:cs="Arial"/>
          </w:rPr>
          <w:t>Role of Epithelial-Mesenchyme Transition in Chlamydia Pathogenesis.</w:t>
        </w:r>
      </w:hyperlink>
      <w:r w:rsidRPr="000D57FC">
        <w:rPr>
          <w:rFonts w:ascii="Times" w:eastAsia="Times New Roman" w:hAnsi="Times" w:cs="Arial"/>
        </w:rPr>
        <w:t xml:space="preserve"> PLoS One. 2015 Dec 17;10(12):e0145198. doi: 10.1371/journal.pone. 0145198. eCollection 2015. PMID: 26681200.</w:t>
      </w:r>
    </w:p>
    <w:p w14:paraId="7AC9A956" w14:textId="77777777" w:rsidR="009B597B" w:rsidRPr="000D57FC" w:rsidRDefault="009B597B" w:rsidP="009B597B">
      <w:pPr>
        <w:pStyle w:val="ListParagraph"/>
        <w:widowControl/>
        <w:numPr>
          <w:ilvl w:val="0"/>
          <w:numId w:val="3"/>
        </w:numPr>
        <w:shd w:val="clear" w:color="auto" w:fill="FFFFFF"/>
        <w:spacing w:before="0" w:line="240" w:lineRule="auto"/>
        <w:ind w:right="225"/>
        <w:contextualSpacing/>
        <w:jc w:val="left"/>
        <w:rPr>
          <w:rFonts w:ascii="Times" w:eastAsia="Times New Roman" w:hAnsi="Times" w:cs="Arial"/>
          <w:b/>
          <w:bCs/>
          <w:lang w:val="x-none" w:eastAsia="x-none"/>
        </w:rPr>
      </w:pPr>
      <w:r w:rsidRPr="000D57FC">
        <w:rPr>
          <w:rFonts w:ascii="Times" w:hAnsi="Times" w:cs="Arial"/>
          <w:b/>
        </w:rPr>
        <w:t>Omosun Y</w:t>
      </w:r>
      <w:r w:rsidRPr="000D57FC">
        <w:rPr>
          <w:rFonts w:ascii="Times" w:hAnsi="Times" w:cs="Arial"/>
        </w:rPr>
        <w:t xml:space="preserve">, McKeithen D, Ryans K, Kibakaya C, Blas-Machado U, Li D, Singh R, Inoue K, Xiong ZG, Eko F, Black C, Igietseme J, He Q (2015). </w:t>
      </w:r>
      <w:hyperlink r:id="rId11" w:history="1">
        <w:r w:rsidRPr="000D57FC">
          <w:rPr>
            <w:rFonts w:ascii="Times" w:hAnsi="Times" w:cs="Arial"/>
          </w:rPr>
          <w:t>IL-10 modulates antigen presentation by dendritic cells through regulation of NLRP3 inflammasome assembly during Chlamydia infection.</w:t>
        </w:r>
      </w:hyperlink>
      <w:r w:rsidRPr="000D57FC">
        <w:rPr>
          <w:rFonts w:ascii="Times" w:hAnsi="Times" w:cs="Arial"/>
        </w:rPr>
        <w:t xml:space="preserve"> Infect Immun. Sep 14. pii: IAI.00993-15. [Epub ahead of print]</w:t>
      </w:r>
    </w:p>
    <w:p w14:paraId="17321586" w14:textId="1D38B459" w:rsidR="00AE3E37" w:rsidRPr="000D57FC" w:rsidRDefault="009B597B" w:rsidP="000D57FC">
      <w:pPr>
        <w:pStyle w:val="ListParagraph"/>
        <w:numPr>
          <w:ilvl w:val="0"/>
          <w:numId w:val="3"/>
        </w:numPr>
        <w:adjustRightInd w:val="0"/>
        <w:spacing w:before="0" w:after="200" w:line="276" w:lineRule="auto"/>
        <w:contextualSpacing/>
        <w:jc w:val="left"/>
        <w:rPr>
          <w:rFonts w:ascii="Times" w:hAnsi="Times" w:cs="Arial"/>
          <w:bCs/>
        </w:rPr>
        <w:sectPr w:rsidR="00AE3E37" w:rsidRPr="000D57FC">
          <w:type w:val="continuous"/>
          <w:pgSz w:w="11910" w:h="16840"/>
          <w:pgMar w:top="1740" w:right="600" w:bottom="840" w:left="620" w:header="720" w:footer="720" w:gutter="0"/>
          <w:cols w:num="2" w:space="720" w:equalWidth="0">
            <w:col w:w="5214" w:space="138"/>
            <w:col w:w="5338"/>
          </w:cols>
        </w:sectPr>
      </w:pPr>
      <w:hyperlink r:id="rId12" w:history="1">
        <w:r w:rsidRPr="000D57FC">
          <w:rPr>
            <w:rFonts w:ascii="Times" w:hAnsi="Times" w:cs="Arial"/>
            <w:color w:val="262626"/>
          </w:rPr>
          <w:t>George Z</w:t>
        </w:r>
      </w:hyperlink>
      <w:r w:rsidRPr="000D57FC">
        <w:rPr>
          <w:rFonts w:ascii="Times" w:hAnsi="Times" w:cs="Arial"/>
        </w:rPr>
        <w:t xml:space="preserve">, </w:t>
      </w:r>
      <w:hyperlink r:id="rId13" w:history="1">
        <w:r w:rsidRPr="000D57FC">
          <w:rPr>
            <w:rFonts w:ascii="Times" w:hAnsi="Times" w:cs="Arial"/>
            <w:b/>
            <w:color w:val="262626"/>
          </w:rPr>
          <w:t>Omosun Y</w:t>
        </w:r>
      </w:hyperlink>
      <w:r w:rsidRPr="000D57FC">
        <w:rPr>
          <w:rFonts w:ascii="Times" w:hAnsi="Times" w:cs="Arial"/>
        </w:rPr>
        <w:t xml:space="preserve">, </w:t>
      </w:r>
      <w:hyperlink r:id="rId14" w:history="1">
        <w:r w:rsidRPr="000D57FC">
          <w:rPr>
            <w:rFonts w:ascii="Times" w:hAnsi="Times" w:cs="Arial"/>
            <w:color w:val="262626"/>
          </w:rPr>
          <w:t>Azenabor AA</w:t>
        </w:r>
      </w:hyperlink>
      <w:r w:rsidRPr="000D57FC">
        <w:rPr>
          <w:rFonts w:ascii="Times" w:hAnsi="Times" w:cs="Arial"/>
        </w:rPr>
        <w:t xml:space="preserve">, </w:t>
      </w:r>
      <w:hyperlink r:id="rId15" w:history="1">
        <w:r w:rsidRPr="000D57FC">
          <w:rPr>
            <w:rFonts w:ascii="Times" w:hAnsi="Times" w:cs="Arial"/>
            <w:color w:val="262626"/>
          </w:rPr>
          <w:t>Partin J</w:t>
        </w:r>
      </w:hyperlink>
      <w:r w:rsidRPr="000D57FC">
        <w:rPr>
          <w:rFonts w:ascii="Times" w:hAnsi="Times" w:cs="Arial"/>
        </w:rPr>
        <w:t xml:space="preserve">, </w:t>
      </w:r>
      <w:hyperlink r:id="rId16" w:history="1">
        <w:r w:rsidRPr="000D57FC">
          <w:rPr>
            <w:rFonts w:ascii="Times" w:hAnsi="Times" w:cs="Arial"/>
            <w:color w:val="262626"/>
          </w:rPr>
          <w:t xml:space="preserve">Joseph </w:t>
        </w:r>
        <w:r w:rsidRPr="000D57FC">
          <w:rPr>
            <w:rFonts w:ascii="Times" w:hAnsi="Times" w:cs="Arial"/>
            <w:color w:val="262626"/>
          </w:rPr>
          <w:t>K</w:t>
        </w:r>
      </w:hyperlink>
      <w:r w:rsidRPr="000D57FC">
        <w:rPr>
          <w:rFonts w:ascii="Times" w:hAnsi="Times" w:cs="Arial"/>
        </w:rPr>
        <w:t xml:space="preserve">, </w:t>
      </w:r>
      <w:hyperlink r:id="rId17" w:history="1">
        <w:r w:rsidRPr="000D57FC">
          <w:rPr>
            <w:rFonts w:ascii="Times" w:hAnsi="Times" w:cs="Arial"/>
            <w:color w:val="262626"/>
          </w:rPr>
          <w:t>Ellerson D</w:t>
        </w:r>
      </w:hyperlink>
      <w:r w:rsidRPr="000D57FC">
        <w:rPr>
          <w:rFonts w:ascii="Times" w:hAnsi="Times" w:cs="Arial"/>
        </w:rPr>
        <w:t xml:space="preserve">, </w:t>
      </w:r>
      <w:hyperlink r:id="rId18" w:history="1">
        <w:r w:rsidRPr="000D57FC">
          <w:rPr>
            <w:rFonts w:ascii="Times" w:hAnsi="Times" w:cs="Arial"/>
            <w:color w:val="262626"/>
          </w:rPr>
          <w:t>He Q</w:t>
        </w:r>
      </w:hyperlink>
      <w:r w:rsidRPr="000D57FC">
        <w:rPr>
          <w:rFonts w:ascii="Times" w:hAnsi="Times" w:cs="Arial"/>
        </w:rPr>
        <w:t xml:space="preserve">, </w:t>
      </w:r>
      <w:hyperlink r:id="rId19" w:history="1">
        <w:r w:rsidRPr="000D57FC">
          <w:rPr>
            <w:rFonts w:ascii="Times" w:hAnsi="Times" w:cs="Arial"/>
            <w:color w:val="262626"/>
          </w:rPr>
          <w:t>Eko F</w:t>
        </w:r>
      </w:hyperlink>
      <w:r w:rsidRPr="000D57FC">
        <w:rPr>
          <w:rFonts w:ascii="Times" w:hAnsi="Times" w:cs="Arial"/>
        </w:rPr>
        <w:t xml:space="preserve">, </w:t>
      </w:r>
      <w:hyperlink r:id="rId20" w:history="1">
        <w:r w:rsidRPr="000D57FC">
          <w:rPr>
            <w:rFonts w:ascii="Times" w:hAnsi="Times" w:cs="Arial"/>
            <w:color w:val="262626"/>
          </w:rPr>
          <w:t>Bandea C</w:t>
        </w:r>
      </w:hyperlink>
      <w:r w:rsidRPr="000D57FC">
        <w:rPr>
          <w:rFonts w:ascii="Times" w:hAnsi="Times" w:cs="Arial"/>
        </w:rPr>
        <w:t xml:space="preserve">, </w:t>
      </w:r>
      <w:hyperlink r:id="rId21" w:history="1">
        <w:r w:rsidRPr="000D57FC">
          <w:rPr>
            <w:rFonts w:ascii="Times" w:hAnsi="Times" w:cs="Arial"/>
            <w:color w:val="262626"/>
          </w:rPr>
          <w:t>Svoboda P</w:t>
        </w:r>
      </w:hyperlink>
      <w:r w:rsidRPr="000D57FC">
        <w:rPr>
          <w:rFonts w:ascii="Times" w:hAnsi="Times" w:cs="Arial"/>
        </w:rPr>
        <w:t xml:space="preserve">, </w:t>
      </w:r>
      <w:hyperlink r:id="rId22" w:history="1">
        <w:r w:rsidRPr="000D57FC">
          <w:rPr>
            <w:rFonts w:ascii="Times" w:hAnsi="Times" w:cs="Arial"/>
            <w:color w:val="262626"/>
          </w:rPr>
          <w:t>Pohl J</w:t>
        </w:r>
      </w:hyperlink>
      <w:r w:rsidRPr="000D57FC">
        <w:rPr>
          <w:rFonts w:ascii="Times" w:hAnsi="Times" w:cs="Arial"/>
        </w:rPr>
        <w:t xml:space="preserve">, </w:t>
      </w:r>
      <w:hyperlink r:id="rId23" w:history="1">
        <w:r w:rsidRPr="000D57FC">
          <w:rPr>
            <w:rFonts w:ascii="Times" w:hAnsi="Times" w:cs="Arial"/>
            <w:color w:val="262626"/>
          </w:rPr>
          <w:t>Black CM</w:t>
        </w:r>
      </w:hyperlink>
      <w:r w:rsidRPr="000D57FC">
        <w:rPr>
          <w:rFonts w:ascii="Times" w:hAnsi="Times" w:cs="Arial"/>
        </w:rPr>
        <w:t xml:space="preserve">, </w:t>
      </w:r>
      <w:hyperlink r:id="rId24" w:history="1">
        <w:r w:rsidRPr="000D57FC">
          <w:rPr>
            <w:rFonts w:ascii="Times" w:hAnsi="Times" w:cs="Arial"/>
            <w:color w:val="262626"/>
          </w:rPr>
          <w:t>Igietseme JU</w:t>
        </w:r>
      </w:hyperlink>
      <w:r w:rsidRPr="000D57FC">
        <w:rPr>
          <w:rFonts w:ascii="Times" w:hAnsi="Times" w:cs="Arial"/>
        </w:rPr>
        <w:t>.</w:t>
      </w:r>
      <w:r w:rsidRPr="000D57FC">
        <w:rPr>
          <w:rFonts w:ascii="Times" w:hAnsi="Times" w:cs="Arial"/>
          <w:bCs/>
        </w:rPr>
        <w:t xml:space="preserve"> (2016). The roles of unfolded protein response pathways in Chlamydia pathogenesis. </w:t>
      </w:r>
      <w:r w:rsidRPr="000D57FC">
        <w:rPr>
          <w:rFonts w:ascii="Times" w:hAnsi="Times" w:cs="Arial"/>
          <w:color w:val="262626"/>
        </w:rPr>
        <w:t>J Infect Dis.</w:t>
      </w:r>
      <w:r w:rsidRPr="000D57FC">
        <w:rPr>
          <w:rFonts w:ascii="Times" w:hAnsi="Times" w:cs="Arial"/>
        </w:rPr>
        <w:t xml:space="preserve"> 2016 Dec 8. pii: jiw569. [Epub ahead of print]</w:t>
      </w:r>
      <w:r w:rsidR="000D57FC">
        <w:rPr>
          <w:rFonts w:ascii="Times" w:hAnsi="Times" w:cs="Arial"/>
        </w:rPr>
        <w:t>.</w:t>
      </w:r>
    </w:p>
    <w:p w14:paraId="68CEC709" w14:textId="77777777" w:rsidR="00AE3E37" w:rsidRPr="000D57FC" w:rsidRDefault="00AE3E37">
      <w:pPr>
        <w:pStyle w:val="BodyText"/>
        <w:spacing w:before="5" w:after="1"/>
        <w:rPr>
          <w:rFonts w:ascii="Times" w:hAnsi="Times"/>
          <w:sz w:val="22"/>
          <w:szCs w:val="22"/>
        </w:rPr>
      </w:pPr>
    </w:p>
    <w:bookmarkStart w:id="0" w:name="_GoBack"/>
    <w:bookmarkEnd w:id="0"/>
    <w:p w14:paraId="5FB68DC4" w14:textId="77777777" w:rsidR="00AE3E37" w:rsidRPr="000D57FC" w:rsidRDefault="00881168">
      <w:pPr>
        <w:pStyle w:val="BodyText"/>
        <w:spacing w:line="40" w:lineRule="exact"/>
        <w:ind w:left="2202"/>
        <w:rPr>
          <w:rFonts w:ascii="Times" w:hAnsi="Times"/>
          <w:sz w:val="22"/>
          <w:szCs w:val="22"/>
        </w:rPr>
      </w:pPr>
      <w:r w:rsidRPr="000D57FC">
        <w:rPr>
          <w:rFonts w:ascii="Times" w:hAnsi="Times"/>
          <w:noProof/>
          <w:sz w:val="22"/>
          <w:szCs w:val="22"/>
        </w:rPr>
        <mc:AlternateContent>
          <mc:Choice Requires="wpg">
            <w:drawing>
              <wp:inline distT="0" distB="0" distL="0" distR="0" wp14:anchorId="4B621265" wp14:editId="0C687A9F">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14:paraId="79698ED0" w14:textId="2D8CD908" w:rsidR="00AE3E37" w:rsidRPr="000D57FC" w:rsidRDefault="00404E5B" w:rsidP="00404E5B">
      <w:pPr>
        <w:spacing w:before="92"/>
        <w:ind w:right="4234"/>
        <w:rPr>
          <w:rFonts w:ascii="Times" w:hAnsi="Times"/>
        </w:rPr>
      </w:pPr>
      <w:r w:rsidRPr="000D57FC">
        <w:rPr>
          <w:rFonts w:ascii="Times" w:hAnsi="Times"/>
          <w:color w:val="BF5A14"/>
        </w:rPr>
        <w:t xml:space="preserve">                                        </w:t>
      </w:r>
      <w:r w:rsidR="000D57FC" w:rsidRPr="000D57FC">
        <w:rPr>
          <w:rFonts w:ascii="Times" w:hAnsi="Times"/>
          <w:color w:val="BF5A14"/>
        </w:rPr>
        <w:tab/>
      </w:r>
      <w:r w:rsidR="000D57FC" w:rsidRPr="000D57FC">
        <w:rPr>
          <w:rFonts w:ascii="Times" w:hAnsi="Times"/>
          <w:color w:val="BF5A14"/>
        </w:rPr>
        <w:tab/>
      </w:r>
      <w:r w:rsidR="000D57FC" w:rsidRPr="000D57FC">
        <w:rPr>
          <w:rFonts w:ascii="Times" w:hAnsi="Times"/>
          <w:color w:val="BF5A14"/>
        </w:rPr>
        <w:tab/>
      </w:r>
      <w:r w:rsidR="000D57FC" w:rsidRPr="000D57FC">
        <w:rPr>
          <w:rFonts w:ascii="Times" w:hAnsi="Times"/>
          <w:color w:val="BF5A14"/>
        </w:rPr>
        <w:tab/>
      </w:r>
      <w:r w:rsidRPr="000D57FC">
        <w:rPr>
          <w:rFonts w:ascii="Times" w:hAnsi="Times"/>
          <w:color w:val="BF5A14"/>
        </w:rPr>
        <w:t xml:space="preserve">  </w:t>
      </w:r>
      <w:r w:rsidR="00A9710C" w:rsidRPr="000D57FC">
        <w:rPr>
          <w:rFonts w:ascii="Times" w:hAnsi="Times"/>
          <w:color w:val="BF5A14"/>
        </w:rPr>
        <w:t>Biography</w:t>
      </w:r>
      <w:r w:rsidRPr="000D57FC">
        <w:rPr>
          <w:rFonts w:ascii="Times" w:hAnsi="Times"/>
          <w:color w:val="BF5A14"/>
        </w:rPr>
        <w:t xml:space="preserve"> </w:t>
      </w:r>
    </w:p>
    <w:p w14:paraId="05EA256E" w14:textId="6C6DF013" w:rsidR="00BF3F7A" w:rsidRPr="000D57FC" w:rsidRDefault="000D57FC">
      <w:pPr>
        <w:spacing w:before="41" w:line="154" w:lineRule="exact"/>
        <w:ind w:left="213" w:right="231"/>
        <w:jc w:val="both"/>
        <w:rPr>
          <w:rFonts w:ascii="Times" w:hAnsi="Times"/>
        </w:rPr>
      </w:pPr>
      <w:r w:rsidRPr="000D57FC">
        <w:rPr>
          <w:rFonts w:ascii="Times" w:hAnsi="Times" w:cs="Arial"/>
          <w:noProof/>
        </w:rPr>
        <mc:AlternateContent>
          <mc:Choice Requires="wps">
            <w:drawing>
              <wp:anchor distT="0" distB="0" distL="114300" distR="114300" simplePos="0" relativeHeight="251662336" behindDoc="0" locked="0" layoutInCell="1" allowOverlap="1" wp14:anchorId="15AB20BB" wp14:editId="6264087F">
                <wp:simplePos x="0" y="0"/>
                <wp:positionH relativeFrom="column">
                  <wp:posOffset>267335</wp:posOffset>
                </wp:positionH>
                <wp:positionV relativeFrom="paragraph">
                  <wp:posOffset>122555</wp:posOffset>
                </wp:positionV>
                <wp:extent cx="1187450" cy="1140460"/>
                <wp:effectExtent l="0" t="0" r="0" b="2540"/>
                <wp:wrapSquare wrapText="bothSides"/>
                <wp:docPr id="16" name="Text Box 16"/>
                <wp:cNvGraphicFramePr/>
                <a:graphic xmlns:a="http://schemas.openxmlformats.org/drawingml/2006/main">
                  <a:graphicData uri="http://schemas.microsoft.com/office/word/2010/wordprocessingShape">
                    <wps:wsp>
                      <wps:cNvSpPr txBox="1"/>
                      <wps:spPr>
                        <a:xfrm>
                          <a:off x="0" y="0"/>
                          <a:ext cx="1187450" cy="1140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6DDA22" w14:textId="50A00BA7" w:rsidR="000D57FC" w:rsidRDefault="000D57FC">
                            <w:r w:rsidRPr="009B597B">
                              <w:rPr>
                                <w:rFonts w:ascii="Minion Pro"/>
                                <w:b/>
                                <w:sz w:val="20"/>
                              </w:rPr>
                              <w:drawing>
                                <wp:inline distT="0" distB="0" distL="0" distR="0" wp14:anchorId="26EBDE29" wp14:editId="41B6923A">
                                  <wp:extent cx="902335" cy="914400"/>
                                  <wp:effectExtent l="0" t="0" r="1206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07636" cy="9197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B20BB" id="_x0000_t202" coordsize="21600,21600" o:spt="202" path="m0,0l0,21600,21600,21600,21600,0xe">
                <v:stroke joinstyle="miter"/>
                <v:path gradientshapeok="t" o:connecttype="rect"/>
              </v:shapetype>
              <v:shape id="Text Box 16" o:spid="_x0000_s1026" type="#_x0000_t202" style="position:absolute;left:0;text-align:left;margin-left:21.05pt;margin-top:9.65pt;width:93.5pt;height:8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" filled="f" stroked="f">
                <v:textbox>
                  <w:txbxContent>
                    <w:p w14:paraId="6C6DDA22" w14:textId="50A00BA7" w:rsidR="000D57FC" w:rsidRDefault="000D57FC">
                      <w:r w:rsidRPr="009B597B">
                        <w:rPr>
                          <w:rFonts w:ascii="Minion Pro"/>
                          <w:b/>
                          <w:sz w:val="20"/>
                        </w:rPr>
                        <w:drawing>
                          <wp:inline distT="0" distB="0" distL="0" distR="0" wp14:anchorId="26EBDE29" wp14:editId="41B6923A">
                            <wp:extent cx="902335" cy="914400"/>
                            <wp:effectExtent l="0" t="0" r="1206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07636" cy="919772"/>
                                    </a:xfrm>
                                    <a:prstGeom prst="rect">
                                      <a:avLst/>
                                    </a:prstGeom>
                                  </pic:spPr>
                                </pic:pic>
                              </a:graphicData>
                            </a:graphic>
                          </wp:inline>
                        </w:drawing>
                      </w:r>
                    </w:p>
                  </w:txbxContent>
                </v:textbox>
                <w10:wrap type="square"/>
              </v:shape>
            </w:pict>
          </mc:Fallback>
        </mc:AlternateContent>
      </w:r>
    </w:p>
    <w:p w14:paraId="39A50CAD" w14:textId="7DBA2F84" w:rsidR="00AE3E37" w:rsidRPr="000D57FC" w:rsidRDefault="00BF3F7A" w:rsidP="000D57FC">
      <w:pPr>
        <w:adjustRightInd w:val="0"/>
        <w:ind w:left="2880"/>
        <w:jc w:val="both"/>
        <w:rPr>
          <w:rFonts w:ascii="Times" w:eastAsia="Calibri" w:hAnsi="Times" w:cs="Arial"/>
        </w:rPr>
      </w:pPr>
      <w:r w:rsidRPr="000D57FC">
        <w:rPr>
          <w:rFonts w:ascii="Times" w:hAnsi="Times" w:cs="Arial"/>
        </w:rPr>
        <w:t>Yusuf Omosun is involved in research aimed at understanding how chlamydia infection increases</w:t>
      </w:r>
      <w:r w:rsidRPr="000D57FC">
        <w:rPr>
          <w:rFonts w:ascii="Times" w:hAnsi="Times" w:cs="Arial"/>
        </w:rPr>
        <w:t xml:space="preserve"> the risk of developing tubal factor infertility (TFI)</w:t>
      </w:r>
      <w:r w:rsidRPr="000D57FC">
        <w:rPr>
          <w:rFonts w:ascii="Times" w:hAnsi="Times" w:cs="Arial"/>
        </w:rPr>
        <w:t>, and finding ways to ameliorate this process through more effiecient diagnosis or the discovery of viable vaccines.</w:t>
      </w:r>
      <w:r w:rsidRPr="000D57FC">
        <w:rPr>
          <w:rFonts w:ascii="Times" w:eastAsia="Calibri" w:hAnsi="Times" w:cs="Arial"/>
        </w:rPr>
        <w:t xml:space="preserve"> This would have a tremendous impact in women's reproductive health by reducing the detrimental pathology of </w:t>
      </w:r>
      <w:r w:rsidRPr="000D57FC">
        <w:rPr>
          <w:rFonts w:ascii="Times" w:eastAsia="Calibri" w:hAnsi="Times" w:cs="Arial"/>
          <w:i/>
        </w:rPr>
        <w:t>Chlamydia</w:t>
      </w:r>
      <w:r w:rsidRPr="000D57FC">
        <w:rPr>
          <w:rFonts w:ascii="Times" w:eastAsia="Calibri" w:hAnsi="Times" w:cs="Arial"/>
        </w:rPr>
        <w:t xml:space="preserve">. </w:t>
      </w:r>
      <w:r w:rsidR="00A9710C" w:rsidRPr="000D57FC">
        <w:rPr>
          <w:rFonts w:ascii="Times" w:hAnsi="Times"/>
        </w:rPr>
        <w:t xml:space="preserve">Email: </w:t>
      </w:r>
      <w:hyperlink r:id="rId26">
        <w:r w:rsidR="000D57FC" w:rsidRPr="000D57FC">
          <w:rPr>
            <w:rFonts w:ascii="Times" w:hAnsi="Times"/>
            <w:color w:val="004080"/>
          </w:rPr>
          <w:t>yomosun@msm.edu</w:t>
        </w:r>
      </w:hyperlink>
    </w:p>
    <w:p w14:paraId="1AD61498" w14:textId="2303282E" w:rsidR="009B597B" w:rsidRPr="000D57FC" w:rsidRDefault="000D57FC" w:rsidP="000D57FC">
      <w:pPr>
        <w:pStyle w:val="BodyText"/>
        <w:spacing w:before="2"/>
        <w:rPr>
          <w:rFonts w:ascii="Times" w:hAnsi="Times"/>
          <w:sz w:val="22"/>
          <w:szCs w:val="22"/>
        </w:rPr>
      </w:pPr>
      <w:r w:rsidRPr="000D57FC">
        <w:rPr>
          <w:rFonts w:ascii="Times" w:hAnsi="Times"/>
          <w:noProof/>
          <w:sz w:val="22"/>
          <w:szCs w:val="22"/>
        </w:rPr>
        <mc:AlternateContent>
          <mc:Choice Requires="wps">
            <w:drawing>
              <wp:anchor distT="0" distB="0" distL="0" distR="0" simplePos="0" relativeHeight="1072" behindDoc="0" locked="0" layoutInCell="1" allowOverlap="1" wp14:anchorId="73044C04" wp14:editId="417E1FD1">
                <wp:simplePos x="0" y="0"/>
                <wp:positionH relativeFrom="page">
                  <wp:posOffset>1983105</wp:posOffset>
                </wp:positionH>
                <wp:positionV relativeFrom="paragraph">
                  <wp:posOffset>212090</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EE71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6.15pt,16.7pt" to="427.2pt,16.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JuuR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G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" strokecolor="#004080" strokeweight=".5pt">
                <w10:wrap type="topAndBottom" anchorx="page"/>
              </v:line>
            </w:pict>
          </mc:Fallback>
        </mc:AlternateContent>
      </w:r>
    </w:p>
    <w:p w14:paraId="3DE9F805" w14:textId="4B2930E5" w:rsidR="00AE3E37" w:rsidRPr="000D57FC" w:rsidRDefault="00A9710C" w:rsidP="000D57FC">
      <w:pPr>
        <w:spacing w:before="39"/>
        <w:ind w:left="100"/>
        <w:rPr>
          <w:rFonts w:ascii="Times" w:hAnsi="Times"/>
          <w:noProof/>
        </w:rPr>
        <w:sectPr w:rsidR="00AE3E37" w:rsidRPr="000D57FC">
          <w:type w:val="continuous"/>
          <w:pgSz w:w="11910" w:h="16840"/>
          <w:pgMar w:top="1740" w:right="600" w:bottom="840" w:left="620" w:header="720" w:footer="720" w:gutter="0"/>
          <w:cols w:space="720"/>
        </w:sectPr>
      </w:pPr>
      <w:r w:rsidRPr="000D57FC">
        <w:rPr>
          <w:rFonts w:ascii="Times" w:hAnsi="Times"/>
          <w:b/>
        </w:rPr>
        <w:lastRenderedPageBreak/>
        <w:t>Notes/Comments:</w:t>
      </w:r>
    </w:p>
    <w:p w14:paraId="53DC9C73" w14:textId="77777777" w:rsidR="00AE3E37" w:rsidRPr="000D57FC" w:rsidRDefault="00AE3E37">
      <w:pPr>
        <w:pStyle w:val="BodyText"/>
        <w:spacing w:before="3"/>
        <w:rPr>
          <w:rFonts w:ascii="Times" w:hAnsi="Times"/>
          <w:sz w:val="22"/>
          <w:szCs w:val="22"/>
        </w:rPr>
      </w:pPr>
    </w:p>
    <w:p w14:paraId="516AD04D" w14:textId="77777777" w:rsidR="00AE3E37" w:rsidRPr="000D57FC" w:rsidRDefault="00A9710C">
      <w:pPr>
        <w:spacing w:before="47" w:line="400" w:lineRule="exact"/>
        <w:ind w:left="100"/>
        <w:rPr>
          <w:rFonts w:ascii="Times" w:hAnsi="Times"/>
          <w:b/>
        </w:rPr>
      </w:pPr>
      <w:r w:rsidRPr="000D57FC">
        <w:rPr>
          <w:rFonts w:ascii="Times" w:hAnsi="Times"/>
          <w:b/>
          <w:color w:val="337AB7"/>
        </w:rPr>
        <w:t>Women, trauma and alcohol dependency: Connections and disconnections in alcohol treatment for women</w:t>
      </w:r>
    </w:p>
    <w:p w14:paraId="09C602BA" w14:textId="77777777" w:rsidR="00AE3E37" w:rsidRPr="000D57FC" w:rsidRDefault="00A9710C">
      <w:pPr>
        <w:pStyle w:val="BodyText"/>
        <w:spacing w:before="73" w:line="198" w:lineRule="exact"/>
        <w:ind w:left="100" w:right="5987"/>
        <w:rPr>
          <w:rFonts w:ascii="Times" w:hAnsi="Times"/>
          <w:sz w:val="22"/>
          <w:szCs w:val="22"/>
        </w:rPr>
      </w:pPr>
      <w:r w:rsidRPr="000D57FC">
        <w:rPr>
          <w:rFonts w:ascii="Times" w:hAnsi="Times"/>
          <w:sz w:val="22"/>
          <w:szCs w:val="22"/>
        </w:rPr>
        <w:t>Deanna L Mulvihill, RN PhD, TLI Foundation, USA Deanna L Mulvihill, RN PhD, TLI Foundation, USA</w:t>
      </w:r>
    </w:p>
    <w:p w14:paraId="0C634A81" w14:textId="77777777" w:rsidR="00AE3E37" w:rsidRPr="000D57FC" w:rsidRDefault="00881168">
      <w:pPr>
        <w:pStyle w:val="BodyText"/>
        <w:spacing w:before="3"/>
        <w:rPr>
          <w:rFonts w:ascii="Times" w:hAnsi="Times"/>
          <w:sz w:val="22"/>
          <w:szCs w:val="22"/>
        </w:rPr>
      </w:pPr>
      <w:r w:rsidRPr="000D57FC">
        <w:rPr>
          <w:rFonts w:ascii="Times" w:hAnsi="Times"/>
          <w:noProof/>
          <w:sz w:val="22"/>
          <w:szCs w:val="22"/>
        </w:rPr>
        <mc:AlternateContent>
          <mc:Choice Requires="wps">
            <w:drawing>
              <wp:anchor distT="0" distB="0" distL="0" distR="0" simplePos="0" relativeHeight="1096" behindDoc="0" locked="0" layoutInCell="1" allowOverlap="1" wp14:anchorId="1DD8D2CA" wp14:editId="221B52F8">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14:paraId="582DDB6D" w14:textId="77777777" w:rsidR="00AE3E37" w:rsidRPr="000D57FC" w:rsidRDefault="00AE3E37">
      <w:pPr>
        <w:rPr>
          <w:rFonts w:ascii="Times" w:hAnsi="Times"/>
        </w:rPr>
        <w:sectPr w:rsidR="00AE3E37" w:rsidRPr="000D57FC">
          <w:pgSz w:w="11910" w:h="16840"/>
          <w:pgMar w:top="1740" w:right="580" w:bottom="840" w:left="620" w:header="541" w:footer="642" w:gutter="0"/>
          <w:cols w:space="720"/>
        </w:sectPr>
      </w:pPr>
    </w:p>
    <w:p w14:paraId="7247D703" w14:textId="77777777" w:rsidR="00AE3E37" w:rsidRPr="000D57FC" w:rsidRDefault="00A9710C">
      <w:pPr>
        <w:pStyle w:val="Heading3"/>
        <w:spacing w:line="218" w:lineRule="exact"/>
        <w:jc w:val="both"/>
        <w:rPr>
          <w:rFonts w:ascii="Times" w:hAnsi="Times"/>
          <w:sz w:val="22"/>
          <w:szCs w:val="22"/>
        </w:rPr>
      </w:pPr>
      <w:r w:rsidRPr="000D57FC">
        <w:rPr>
          <w:rFonts w:ascii="Times" w:hAnsi="Times"/>
          <w:color w:val="BF5A14"/>
          <w:sz w:val="22"/>
          <w:szCs w:val="22"/>
        </w:rPr>
        <w:lastRenderedPageBreak/>
        <w:t>Abstract</w:t>
      </w:r>
    </w:p>
    <w:p w14:paraId="491075F1" w14:textId="77777777" w:rsidR="00AE3E37" w:rsidRPr="000D57FC" w:rsidRDefault="00A9710C">
      <w:pPr>
        <w:pStyle w:val="BodyText"/>
        <w:spacing w:before="76" w:line="264" w:lineRule="auto"/>
        <w:ind w:left="100"/>
        <w:jc w:val="both"/>
        <w:rPr>
          <w:rFonts w:ascii="Times" w:hAnsi="Times"/>
          <w:sz w:val="22"/>
          <w:szCs w:val="22"/>
        </w:rPr>
      </w:pPr>
      <w:r w:rsidRPr="000D57FC">
        <w:rPr>
          <w:rFonts w:ascii="Times" w:hAnsi="Times"/>
          <w:sz w:val="22"/>
          <w:szCs w:val="22"/>
        </w:rPr>
        <w:t>Statement of the Problem: Women who have experienced intimate partnerviolence</w:t>
      </w:r>
      <w:r w:rsidR="000E2911" w:rsidRPr="000D57FC">
        <w:rPr>
          <w:rFonts w:ascii="Times" w:hAnsi="Times"/>
          <w:sz w:val="22"/>
          <w:szCs w:val="22"/>
        </w:rPr>
        <w:t xml:space="preserve"> </w:t>
      </w:r>
      <w:r w:rsidRPr="000D57FC">
        <w:rPr>
          <w:rFonts w:ascii="Times" w:hAnsi="Times"/>
          <w:sz w:val="22"/>
          <w:szCs w:val="22"/>
        </w:rPr>
        <w:t>(IPV)</w:t>
      </w:r>
      <w:r w:rsidR="000E2911" w:rsidRPr="000D57FC">
        <w:rPr>
          <w:rFonts w:ascii="Times" w:hAnsi="Times"/>
          <w:sz w:val="22"/>
          <w:szCs w:val="22"/>
        </w:rPr>
        <w:t xml:space="preserve"> </w:t>
      </w:r>
      <w:r w:rsidRPr="000D57FC">
        <w:rPr>
          <w:rFonts w:ascii="Times" w:hAnsi="Times"/>
          <w:sz w:val="22"/>
          <w:szCs w:val="22"/>
        </w:rPr>
        <w:t>are</w:t>
      </w:r>
      <w:r w:rsidR="000E2911" w:rsidRPr="000D57FC">
        <w:rPr>
          <w:rFonts w:ascii="Times" w:hAnsi="Times"/>
          <w:sz w:val="22"/>
          <w:szCs w:val="22"/>
        </w:rPr>
        <w:t xml:space="preserve"> </w:t>
      </w:r>
      <w:r w:rsidRPr="000D57FC">
        <w:rPr>
          <w:rFonts w:ascii="Times" w:hAnsi="Times"/>
          <w:sz w:val="22"/>
          <w:szCs w:val="22"/>
        </w:rPr>
        <w:t>at</w:t>
      </w:r>
      <w:r w:rsidR="000E2911" w:rsidRPr="000D57FC">
        <w:rPr>
          <w:rFonts w:ascii="Times" w:hAnsi="Times"/>
          <w:sz w:val="22"/>
          <w:szCs w:val="22"/>
        </w:rPr>
        <w:t xml:space="preserve"> </w:t>
      </w:r>
      <w:r w:rsidRPr="000D57FC">
        <w:rPr>
          <w:rFonts w:ascii="Times" w:hAnsi="Times"/>
          <w:sz w:val="22"/>
          <w:szCs w:val="22"/>
        </w:rPr>
        <w:t>greater</w:t>
      </w:r>
      <w:r w:rsidR="000E2911" w:rsidRPr="000D57FC">
        <w:rPr>
          <w:rFonts w:ascii="Times" w:hAnsi="Times"/>
          <w:sz w:val="22"/>
          <w:szCs w:val="22"/>
        </w:rPr>
        <w:t xml:space="preserve"> </w:t>
      </w:r>
      <w:r w:rsidRPr="000D57FC">
        <w:rPr>
          <w:rFonts w:ascii="Times" w:hAnsi="Times"/>
          <w:sz w:val="22"/>
          <w:szCs w:val="22"/>
        </w:rPr>
        <w:t>risk</w:t>
      </w:r>
      <w:r w:rsidR="000E2911" w:rsidRPr="000D57FC">
        <w:rPr>
          <w:rFonts w:ascii="Times" w:hAnsi="Times"/>
          <w:sz w:val="22"/>
          <w:szCs w:val="22"/>
        </w:rPr>
        <w:t xml:space="preserve"> </w:t>
      </w:r>
      <w:r w:rsidRPr="000D57FC">
        <w:rPr>
          <w:rFonts w:ascii="Times" w:hAnsi="Times"/>
          <w:sz w:val="22"/>
          <w:szCs w:val="22"/>
        </w:rPr>
        <w:t>for</w:t>
      </w:r>
      <w:r w:rsidR="000E2911" w:rsidRPr="000D57FC">
        <w:rPr>
          <w:rFonts w:ascii="Times" w:hAnsi="Times"/>
          <w:sz w:val="22"/>
          <w:szCs w:val="22"/>
        </w:rPr>
        <w:t xml:space="preserve"> </w:t>
      </w:r>
      <w:r w:rsidRPr="000D57FC">
        <w:rPr>
          <w:rFonts w:ascii="Times" w:hAnsi="Times"/>
          <w:sz w:val="22"/>
          <w:szCs w:val="22"/>
        </w:rPr>
        <w:t>physical</w:t>
      </w:r>
      <w:r w:rsidR="000E2911" w:rsidRPr="000D57FC">
        <w:rPr>
          <w:rFonts w:ascii="Times" w:hAnsi="Times"/>
          <w:sz w:val="22"/>
          <w:szCs w:val="22"/>
        </w:rPr>
        <w:t xml:space="preserve"> </w:t>
      </w:r>
      <w:r w:rsidRPr="000D57FC">
        <w:rPr>
          <w:rFonts w:ascii="Times" w:hAnsi="Times"/>
          <w:sz w:val="22"/>
          <w:szCs w:val="22"/>
        </w:rPr>
        <w:t>and</w:t>
      </w:r>
      <w:r w:rsidR="000E2911" w:rsidRPr="000D57FC">
        <w:rPr>
          <w:rFonts w:ascii="Times" w:hAnsi="Times"/>
          <w:sz w:val="22"/>
          <w:szCs w:val="22"/>
        </w:rPr>
        <w:t xml:space="preserve"> </w:t>
      </w:r>
      <w:r w:rsidRPr="000D57FC">
        <w:rPr>
          <w:rFonts w:ascii="Times" w:hAnsi="Times"/>
          <w:sz w:val="22"/>
          <w:szCs w:val="22"/>
        </w:rPr>
        <w:t>mental</w:t>
      </w:r>
      <w:r w:rsidR="000E2911" w:rsidRPr="000D57FC">
        <w:rPr>
          <w:rFonts w:ascii="Times" w:hAnsi="Times"/>
          <w:sz w:val="22"/>
          <w:szCs w:val="22"/>
        </w:rPr>
        <w:t xml:space="preserve"> </w:t>
      </w:r>
      <w:r w:rsidRPr="000D57FC">
        <w:rPr>
          <w:rFonts w:ascii="Times" w:hAnsi="Times"/>
          <w:sz w:val="22"/>
          <w:szCs w:val="22"/>
        </w:rPr>
        <w:t>health problems including posttraumatic stress disorder (PTSD) and alcohol dependency. On their own IPV, PTSD and alcohol dependency result   in significant personal, social and economic cost and the impact of all three</w:t>
      </w:r>
      <w:r w:rsidR="000E2911" w:rsidRPr="000D57FC">
        <w:rPr>
          <w:rFonts w:ascii="Times" w:hAnsi="Times"/>
          <w:sz w:val="22"/>
          <w:szCs w:val="22"/>
        </w:rPr>
        <w:t xml:space="preserve"> </w:t>
      </w:r>
      <w:r w:rsidRPr="000D57FC">
        <w:rPr>
          <w:rFonts w:ascii="Times" w:hAnsi="Times"/>
          <w:sz w:val="22"/>
          <w:szCs w:val="22"/>
        </w:rPr>
        <w:t>may</w:t>
      </w:r>
      <w:r w:rsidR="000E2911" w:rsidRPr="000D57FC">
        <w:rPr>
          <w:rFonts w:ascii="Times" w:hAnsi="Times"/>
          <w:sz w:val="22"/>
          <w:szCs w:val="22"/>
        </w:rPr>
        <w:t xml:space="preserve"> </w:t>
      </w:r>
      <w:r w:rsidRPr="000D57FC">
        <w:rPr>
          <w:rFonts w:ascii="Times" w:hAnsi="Times"/>
          <w:sz w:val="22"/>
          <w:szCs w:val="22"/>
        </w:rPr>
        <w:t>compound</w:t>
      </w:r>
      <w:r w:rsidR="000E2911" w:rsidRPr="000D57FC">
        <w:rPr>
          <w:rFonts w:ascii="Times" w:hAnsi="Times"/>
          <w:sz w:val="22"/>
          <w:szCs w:val="22"/>
        </w:rPr>
        <w:t xml:space="preserve"> </w:t>
      </w:r>
      <w:r w:rsidRPr="000D57FC">
        <w:rPr>
          <w:rFonts w:ascii="Times" w:hAnsi="Times"/>
          <w:sz w:val="22"/>
          <w:szCs w:val="22"/>
        </w:rPr>
        <w:t>these</w:t>
      </w:r>
      <w:r w:rsidR="000E2911" w:rsidRPr="000D57FC">
        <w:rPr>
          <w:rFonts w:ascii="Times" w:hAnsi="Times"/>
          <w:sz w:val="22"/>
          <w:szCs w:val="22"/>
        </w:rPr>
        <w:t xml:space="preserve"> </w:t>
      </w:r>
      <w:r w:rsidRPr="000D57FC">
        <w:rPr>
          <w:rFonts w:ascii="Times" w:hAnsi="Times"/>
          <w:sz w:val="22"/>
          <w:szCs w:val="22"/>
        </w:rPr>
        <w:t>costs.</w:t>
      </w:r>
      <w:r w:rsidR="000E2911" w:rsidRPr="000D57FC">
        <w:rPr>
          <w:rFonts w:ascii="Times" w:hAnsi="Times"/>
          <w:sz w:val="22"/>
          <w:szCs w:val="22"/>
        </w:rPr>
        <w:t xml:space="preserve"> </w:t>
      </w:r>
      <w:r w:rsidRPr="000D57FC">
        <w:rPr>
          <w:rFonts w:ascii="Times" w:hAnsi="Times"/>
          <w:sz w:val="22"/>
          <w:szCs w:val="22"/>
        </w:rPr>
        <w:t>Researchers</w:t>
      </w:r>
      <w:r w:rsidR="000E2911" w:rsidRPr="000D57FC">
        <w:rPr>
          <w:rFonts w:ascii="Times" w:hAnsi="Times"/>
          <w:sz w:val="22"/>
          <w:szCs w:val="22"/>
        </w:rPr>
        <w:t xml:space="preserve"> </w:t>
      </w:r>
      <w:r w:rsidRPr="000D57FC">
        <w:rPr>
          <w:rFonts w:ascii="Times" w:hAnsi="Times"/>
          <w:sz w:val="22"/>
          <w:szCs w:val="22"/>
        </w:rPr>
        <w:t>have</w:t>
      </w:r>
      <w:r w:rsidR="000E2911" w:rsidRPr="000D57FC">
        <w:rPr>
          <w:rFonts w:ascii="Times" w:hAnsi="Times"/>
          <w:sz w:val="22"/>
          <w:szCs w:val="22"/>
        </w:rPr>
        <w:t xml:space="preserve"> </w:t>
      </w:r>
      <w:r w:rsidRPr="000D57FC">
        <w:rPr>
          <w:rFonts w:ascii="Times" w:hAnsi="Times"/>
          <w:sz w:val="22"/>
          <w:szCs w:val="22"/>
        </w:rPr>
        <w:t>reported</w:t>
      </w:r>
      <w:r w:rsidR="000E2911" w:rsidRPr="000D57FC">
        <w:rPr>
          <w:rFonts w:ascii="Times" w:hAnsi="Times"/>
          <w:sz w:val="22"/>
          <w:szCs w:val="22"/>
        </w:rPr>
        <w:t xml:space="preserve"> </w:t>
      </w:r>
      <w:r w:rsidRPr="000D57FC">
        <w:rPr>
          <w:rFonts w:ascii="Times" w:hAnsi="Times"/>
          <w:sz w:val="22"/>
          <w:szCs w:val="22"/>
        </w:rPr>
        <w:t>that</w:t>
      </w:r>
      <w:r w:rsidR="000E2911" w:rsidRPr="000D57FC">
        <w:rPr>
          <w:rFonts w:ascii="Times" w:hAnsi="Times"/>
          <w:sz w:val="22"/>
          <w:szCs w:val="22"/>
        </w:rPr>
        <w:t xml:space="preserve"> </w:t>
      </w:r>
      <w:r w:rsidRPr="000D57FC">
        <w:rPr>
          <w:rFonts w:ascii="Times" w:hAnsi="Times"/>
          <w:sz w:val="22"/>
          <w:szCs w:val="22"/>
        </w:rPr>
        <w:t>women with these experiences are more difficult to treat; many do</w:t>
      </w:r>
      <w:r w:rsidR="000E2911" w:rsidRPr="000D57FC">
        <w:rPr>
          <w:rFonts w:ascii="Times" w:hAnsi="Times"/>
          <w:sz w:val="22"/>
          <w:szCs w:val="22"/>
        </w:rPr>
        <w:t xml:space="preserve"> </w:t>
      </w:r>
      <w:r w:rsidRPr="000D57FC">
        <w:rPr>
          <w:rFonts w:ascii="Times" w:hAnsi="Times"/>
          <w:sz w:val="22"/>
          <w:szCs w:val="22"/>
        </w:rPr>
        <w:t>not</w:t>
      </w:r>
      <w:r w:rsidR="000E2911" w:rsidRPr="000D57FC">
        <w:rPr>
          <w:rFonts w:ascii="Times" w:hAnsi="Times"/>
          <w:sz w:val="22"/>
          <w:szCs w:val="22"/>
        </w:rPr>
        <w:t xml:space="preserve"> </w:t>
      </w:r>
      <w:r w:rsidRPr="000D57FC">
        <w:rPr>
          <w:rFonts w:ascii="Times" w:hAnsi="Times"/>
          <w:sz w:val="22"/>
          <w:szCs w:val="22"/>
        </w:rPr>
        <w:t>access treatment</w:t>
      </w:r>
      <w:r w:rsidR="000E2911" w:rsidRPr="000D57FC">
        <w:rPr>
          <w:rFonts w:ascii="Times" w:hAnsi="Times"/>
          <w:sz w:val="22"/>
          <w:szCs w:val="22"/>
        </w:rPr>
        <w:t xml:space="preserve"> </w:t>
      </w:r>
      <w:r w:rsidRPr="000D57FC">
        <w:rPr>
          <w:rFonts w:ascii="Times" w:hAnsi="Times"/>
          <w:sz w:val="22"/>
          <w:szCs w:val="22"/>
        </w:rPr>
        <w:t>and</w:t>
      </w:r>
      <w:r w:rsidR="000E2911" w:rsidRPr="000D57FC">
        <w:rPr>
          <w:rFonts w:ascii="Times" w:hAnsi="Times"/>
          <w:sz w:val="22"/>
          <w:szCs w:val="22"/>
        </w:rPr>
        <w:t xml:space="preserve"> </w:t>
      </w:r>
      <w:r w:rsidRPr="000D57FC">
        <w:rPr>
          <w:rFonts w:ascii="Times" w:hAnsi="Times"/>
          <w:sz w:val="22"/>
          <w:szCs w:val="22"/>
        </w:rPr>
        <w:t>those</w:t>
      </w:r>
      <w:r w:rsidR="000E2911" w:rsidRPr="000D57FC">
        <w:rPr>
          <w:rFonts w:ascii="Times" w:hAnsi="Times"/>
          <w:sz w:val="22"/>
          <w:szCs w:val="22"/>
        </w:rPr>
        <w:t xml:space="preserve"> </w:t>
      </w:r>
      <w:r w:rsidRPr="000D57FC">
        <w:rPr>
          <w:rFonts w:ascii="Times" w:hAnsi="Times"/>
          <w:sz w:val="22"/>
          <w:szCs w:val="22"/>
        </w:rPr>
        <w:t>who</w:t>
      </w:r>
      <w:r w:rsidR="000E2911" w:rsidRPr="000D57FC">
        <w:rPr>
          <w:rFonts w:ascii="Times" w:hAnsi="Times"/>
          <w:sz w:val="22"/>
          <w:szCs w:val="22"/>
        </w:rPr>
        <w:t xml:space="preserve"> </w:t>
      </w:r>
      <w:r w:rsidRPr="000D57FC">
        <w:rPr>
          <w:rFonts w:ascii="Times" w:hAnsi="Times"/>
          <w:sz w:val="22"/>
          <w:szCs w:val="22"/>
        </w:rPr>
        <w:t>do,</w:t>
      </w:r>
      <w:r w:rsidR="000E2911" w:rsidRPr="000D57FC">
        <w:rPr>
          <w:rFonts w:ascii="Times" w:hAnsi="Times"/>
          <w:sz w:val="22"/>
          <w:szCs w:val="22"/>
        </w:rPr>
        <w:t xml:space="preserve"> </w:t>
      </w:r>
      <w:r w:rsidRPr="000D57FC">
        <w:rPr>
          <w:rFonts w:ascii="Times" w:hAnsi="Times"/>
          <w:sz w:val="22"/>
          <w:szCs w:val="22"/>
        </w:rPr>
        <w:t>frequently</w:t>
      </w:r>
      <w:r w:rsidR="000E2911" w:rsidRPr="000D57FC">
        <w:rPr>
          <w:rFonts w:ascii="Times" w:hAnsi="Times"/>
          <w:sz w:val="22"/>
          <w:szCs w:val="22"/>
        </w:rPr>
        <w:t xml:space="preserve"> </w:t>
      </w:r>
      <w:r w:rsidRPr="000D57FC">
        <w:rPr>
          <w:rFonts w:ascii="Times" w:hAnsi="Times"/>
          <w:sz w:val="22"/>
          <w:szCs w:val="22"/>
        </w:rPr>
        <w:t>do</w:t>
      </w:r>
      <w:r w:rsidR="000E2911" w:rsidRPr="000D57FC">
        <w:rPr>
          <w:rFonts w:ascii="Times" w:hAnsi="Times"/>
          <w:sz w:val="22"/>
          <w:szCs w:val="22"/>
        </w:rPr>
        <w:t xml:space="preserve"> </w:t>
      </w:r>
      <w:r w:rsidRPr="000D57FC">
        <w:rPr>
          <w:rFonts w:ascii="Times" w:hAnsi="Times"/>
          <w:sz w:val="22"/>
          <w:szCs w:val="22"/>
        </w:rPr>
        <w:t>not</w:t>
      </w:r>
      <w:r w:rsidR="000E2911" w:rsidRPr="000D57FC">
        <w:rPr>
          <w:rFonts w:ascii="Times" w:hAnsi="Times"/>
          <w:sz w:val="22"/>
          <w:szCs w:val="22"/>
        </w:rPr>
        <w:t xml:space="preserve"> </w:t>
      </w:r>
      <w:r w:rsidRPr="000D57FC">
        <w:rPr>
          <w:rFonts w:ascii="Times" w:hAnsi="Times"/>
          <w:sz w:val="22"/>
          <w:szCs w:val="22"/>
        </w:rPr>
        <w:t>stay</w:t>
      </w:r>
      <w:r w:rsidR="000E2911" w:rsidRPr="000D57FC">
        <w:rPr>
          <w:rFonts w:ascii="Times" w:hAnsi="Times"/>
          <w:sz w:val="22"/>
          <w:szCs w:val="22"/>
        </w:rPr>
        <w:t xml:space="preserve"> </w:t>
      </w:r>
      <w:r w:rsidRPr="000D57FC">
        <w:rPr>
          <w:rFonts w:ascii="Times" w:hAnsi="Times"/>
          <w:sz w:val="22"/>
          <w:szCs w:val="22"/>
        </w:rPr>
        <w:t>because</w:t>
      </w:r>
      <w:r w:rsidR="000E2911" w:rsidRPr="000D57FC">
        <w:rPr>
          <w:rFonts w:ascii="Times" w:hAnsi="Times"/>
          <w:sz w:val="22"/>
          <w:szCs w:val="22"/>
        </w:rPr>
        <w:t xml:space="preserve"> </w:t>
      </w:r>
      <w:r w:rsidRPr="000D57FC">
        <w:rPr>
          <w:rFonts w:ascii="Times" w:hAnsi="Times"/>
          <w:sz w:val="22"/>
          <w:szCs w:val="22"/>
        </w:rPr>
        <w:t>of</w:t>
      </w:r>
      <w:r w:rsidR="000E2911" w:rsidRPr="000D57FC">
        <w:rPr>
          <w:rFonts w:ascii="Times" w:hAnsi="Times"/>
          <w:sz w:val="22"/>
          <w:szCs w:val="22"/>
        </w:rPr>
        <w:t xml:space="preserve"> </w:t>
      </w:r>
      <w:r w:rsidRPr="000D57FC">
        <w:rPr>
          <w:rFonts w:ascii="Times" w:hAnsi="Times"/>
          <w:sz w:val="22"/>
          <w:szCs w:val="22"/>
        </w:rPr>
        <w:t>difficulty</w:t>
      </w:r>
    </w:p>
    <w:p w14:paraId="17896F1A" w14:textId="77777777" w:rsidR="00AE3E37" w:rsidRPr="000D57FC" w:rsidRDefault="00A9710C">
      <w:pPr>
        <w:spacing w:before="63"/>
        <w:ind w:left="1428" w:right="1579"/>
        <w:jc w:val="center"/>
        <w:rPr>
          <w:rFonts w:ascii="Times" w:hAnsi="Times"/>
        </w:rPr>
      </w:pPr>
      <w:r w:rsidRPr="000D57FC">
        <w:rPr>
          <w:rFonts w:ascii="Times" w:hAnsi="Times"/>
        </w:rPr>
        <w:br w:type="column"/>
      </w:r>
      <w:r w:rsidRPr="000D57FC">
        <w:rPr>
          <w:rFonts w:ascii="Times" w:hAnsi="Times"/>
          <w:color w:val="BF5A14"/>
        </w:rPr>
        <w:t>Biography</w:t>
      </w:r>
    </w:p>
    <w:p w14:paraId="0E77F60A" w14:textId="77777777" w:rsidR="00AE3E37" w:rsidRPr="000D57FC" w:rsidRDefault="004F3523">
      <w:pPr>
        <w:spacing w:before="41" w:line="154" w:lineRule="exact"/>
        <w:ind w:left="100" w:right="250"/>
        <w:jc w:val="both"/>
        <w:rPr>
          <w:rFonts w:ascii="Times" w:hAnsi="Times"/>
        </w:rPr>
      </w:pPr>
      <w:r w:rsidRPr="000D57FC">
        <w:rPr>
          <w:rFonts w:ascii="Times" w:hAnsi="Times"/>
          <w:noProof/>
        </w:rPr>
        <w:drawing>
          <wp:anchor distT="0" distB="0" distL="114300" distR="114300" simplePos="0" relativeHeight="251661312" behindDoc="0" locked="0" layoutInCell="1" allowOverlap="1" wp14:anchorId="0D4AC7CB" wp14:editId="08DF661B">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sidRPr="000D57FC">
        <w:rPr>
          <w:rFonts w:ascii="Times" w:hAnsi="Times"/>
        </w:rPr>
        <w:t>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foundation  is based on fourth generation evaluation (Guba&amp; Lincoln, 1989) which is a methodologythatutilizesthepreviousgenerationsofevaluation:measurement, description and judgment. It allows for value-pluralism. This approach is responsive to all stakeholders and has a different way offocusing.</w:t>
      </w:r>
    </w:p>
    <w:p w14:paraId="2B269CF3" w14:textId="77777777" w:rsidR="00AE3E37" w:rsidRPr="000D57FC" w:rsidRDefault="00A9710C">
      <w:pPr>
        <w:spacing w:before="62"/>
        <w:ind w:left="1428" w:right="1579"/>
        <w:jc w:val="center"/>
        <w:rPr>
          <w:rFonts w:ascii="Times" w:hAnsi="Times"/>
        </w:rPr>
      </w:pPr>
      <w:r w:rsidRPr="000D57FC">
        <w:rPr>
          <w:rFonts w:ascii="Times" w:hAnsi="Times"/>
        </w:rPr>
        <w:t xml:space="preserve">Email: </w:t>
      </w:r>
      <w:hyperlink r:id="rId28">
        <w:r w:rsidRPr="000D57FC">
          <w:rPr>
            <w:rFonts w:ascii="Times" w:hAnsi="Times"/>
            <w:color w:val="004080"/>
          </w:rPr>
          <w:t>drdeanna.rpm@hotmail.com</w:t>
        </w:r>
      </w:hyperlink>
    </w:p>
    <w:p w14:paraId="035FDC6A" w14:textId="77777777" w:rsidR="00AE3E37" w:rsidRPr="000D57FC" w:rsidRDefault="00AE3E37">
      <w:pPr>
        <w:jc w:val="center"/>
        <w:rPr>
          <w:rFonts w:ascii="Times" w:hAnsi="Times"/>
        </w:rPr>
        <w:sectPr w:rsidR="00AE3E37" w:rsidRPr="000D57FC">
          <w:type w:val="continuous"/>
          <w:pgSz w:w="11910" w:h="16840"/>
          <w:pgMar w:top="1740" w:right="580" w:bottom="840" w:left="620" w:header="720" w:footer="720" w:gutter="0"/>
          <w:cols w:num="2" w:space="720" w:equalWidth="0">
            <w:col w:w="5214" w:space="252"/>
            <w:col w:w="5244"/>
          </w:cols>
        </w:sectPr>
      </w:pPr>
    </w:p>
    <w:p w14:paraId="0F978296" w14:textId="77777777" w:rsidR="00AE3E37" w:rsidRPr="000D57FC" w:rsidRDefault="00A9710C">
      <w:pPr>
        <w:pStyle w:val="BodyText"/>
        <w:tabs>
          <w:tab w:val="left" w:pos="5698"/>
          <w:tab w:val="left" w:pos="10302"/>
        </w:tabs>
        <w:spacing w:line="264" w:lineRule="auto"/>
        <w:ind w:left="100" w:right="384"/>
        <w:rPr>
          <w:rFonts w:ascii="Times" w:hAnsi="Times"/>
          <w:sz w:val="22"/>
          <w:szCs w:val="22"/>
        </w:rPr>
      </w:pPr>
      <w:r w:rsidRPr="000D57FC">
        <w:rPr>
          <w:rFonts w:ascii="Times" w:hAnsi="Times"/>
          <w:sz w:val="22"/>
          <w:szCs w:val="22"/>
        </w:rPr>
        <w:lastRenderedPageBreak/>
        <w:t>maintaining helping relationships. However, these</w:t>
      </w:r>
      <w:r w:rsidR="000E2911" w:rsidRPr="000D57FC">
        <w:rPr>
          <w:rFonts w:ascii="Times" w:hAnsi="Times"/>
          <w:sz w:val="22"/>
          <w:szCs w:val="22"/>
        </w:rPr>
        <w:t xml:space="preserve"> </w:t>
      </w:r>
      <w:r w:rsidRPr="000D57FC">
        <w:rPr>
          <w:rFonts w:ascii="Times" w:hAnsi="Times"/>
          <w:sz w:val="22"/>
          <w:szCs w:val="22"/>
        </w:rPr>
        <w:t>women’s</w:t>
      </w:r>
      <w:r w:rsidR="000E2911" w:rsidRPr="000D57FC">
        <w:rPr>
          <w:rFonts w:ascii="Times" w:hAnsi="Times"/>
          <w:sz w:val="22"/>
          <w:szCs w:val="22"/>
        </w:rPr>
        <w:t xml:space="preserve"> </w:t>
      </w:r>
      <w:r w:rsidRPr="000D57FC">
        <w:rPr>
          <w:rFonts w:ascii="Times" w:hAnsi="Times"/>
          <w:sz w:val="22"/>
          <w:szCs w:val="22"/>
        </w:rPr>
        <w:t>perspective</w:t>
      </w:r>
      <w:r w:rsidRPr="000D57FC">
        <w:rPr>
          <w:rFonts w:ascii="Times" w:hAnsi="Times"/>
          <w:sz w:val="22"/>
          <w:szCs w:val="22"/>
        </w:rPr>
        <w:tab/>
      </w:r>
      <w:r w:rsidRPr="000D57FC">
        <w:rPr>
          <w:rFonts w:ascii="Times" w:hAnsi="Times"/>
          <w:sz w:val="22"/>
          <w:szCs w:val="22"/>
          <w:u w:val="single" w:color="004080"/>
        </w:rPr>
        <w:tab/>
      </w:r>
      <w:r w:rsidRPr="000D57FC">
        <w:rPr>
          <w:rFonts w:ascii="Times" w:hAnsi="Times"/>
          <w:sz w:val="22"/>
          <w:szCs w:val="22"/>
        </w:rPr>
        <w:t xml:space="preserve"> has not been previously studied. The purpose of this study is to</w:t>
      </w:r>
      <w:r w:rsidR="000E2911" w:rsidRPr="000D57FC">
        <w:rPr>
          <w:rFonts w:ascii="Times" w:hAnsi="Times"/>
          <w:sz w:val="22"/>
          <w:szCs w:val="22"/>
        </w:rPr>
        <w:t xml:space="preserve"> </w:t>
      </w:r>
      <w:r w:rsidRPr="000D57FC">
        <w:rPr>
          <w:rFonts w:ascii="Times" w:hAnsi="Times"/>
          <w:sz w:val="22"/>
          <w:szCs w:val="22"/>
        </w:rPr>
        <w:t>describe</w:t>
      </w:r>
    </w:p>
    <w:p w14:paraId="4279712F" w14:textId="77777777" w:rsidR="00AE3E37" w:rsidRPr="000D57FC" w:rsidRDefault="00A9710C">
      <w:pPr>
        <w:pStyle w:val="BodyText"/>
        <w:spacing w:line="163" w:lineRule="exact"/>
        <w:ind w:left="100"/>
        <w:rPr>
          <w:rFonts w:ascii="Times" w:hAnsi="Times"/>
          <w:sz w:val="22"/>
          <w:szCs w:val="22"/>
        </w:rPr>
      </w:pPr>
      <w:r w:rsidRPr="000D57FC">
        <w:rPr>
          <w:rFonts w:ascii="Times" w:hAnsi="Times"/>
          <w:sz w:val="22"/>
          <w:szCs w:val="22"/>
        </w:rPr>
        <w:t>the experience of seeking help for alcohol dependency by women with</w:t>
      </w:r>
    </w:p>
    <w:p w14:paraId="47F7F6DC" w14:textId="77777777" w:rsidR="00AE3E37" w:rsidRPr="000D57FC" w:rsidRDefault="00AE3E37">
      <w:pPr>
        <w:spacing w:line="163" w:lineRule="exact"/>
        <w:rPr>
          <w:rFonts w:ascii="Times" w:hAnsi="Times"/>
        </w:rPr>
        <w:sectPr w:rsidR="00AE3E37" w:rsidRPr="000D57FC">
          <w:type w:val="continuous"/>
          <w:pgSz w:w="11910" w:h="16840"/>
          <w:pgMar w:top="1740" w:right="580" w:bottom="840" w:left="620" w:header="720" w:footer="720" w:gutter="0"/>
          <w:cols w:space="720"/>
        </w:sectPr>
      </w:pPr>
    </w:p>
    <w:p w14:paraId="0EC62726" w14:textId="77777777" w:rsidR="00AE3E37" w:rsidRPr="000D57FC" w:rsidRDefault="00A9710C">
      <w:pPr>
        <w:pStyle w:val="BodyText"/>
        <w:spacing w:before="53" w:line="264" w:lineRule="auto"/>
        <w:ind w:left="100"/>
        <w:jc w:val="both"/>
        <w:rPr>
          <w:rFonts w:ascii="Times" w:hAnsi="Times"/>
          <w:sz w:val="22"/>
          <w:szCs w:val="22"/>
        </w:rPr>
      </w:pPr>
      <w:r w:rsidRPr="000D57FC">
        <w:rPr>
          <w:rFonts w:ascii="Times" w:hAnsi="Times"/>
          <w:sz w:val="22"/>
          <w:szCs w:val="22"/>
        </w:rPr>
        <w:lastRenderedPageBreak/>
        <w:t>PTSD and a history of IPV in the context in which it occurs. Methodology &amp; Theoretical Orientation: An inter</w:t>
      </w:r>
      <w:r w:rsidR="000E2911" w:rsidRPr="000D57FC">
        <w:rPr>
          <w:rFonts w:ascii="Times" w:hAnsi="Times"/>
          <w:sz w:val="22"/>
          <w:szCs w:val="22"/>
        </w:rPr>
        <w:t xml:space="preserve"> </w:t>
      </w:r>
      <w:r w:rsidRPr="000D57FC">
        <w:rPr>
          <w:rFonts w:ascii="Times" w:hAnsi="Times"/>
          <w:sz w:val="22"/>
          <w:szCs w:val="22"/>
        </w:rP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rsidRPr="000D57FC">
        <w:rPr>
          <w:rFonts w:ascii="Times" w:hAnsi="Times"/>
          <w:sz w:val="22"/>
          <w:szCs w:val="22"/>
        </w:rPr>
        <w:t xml:space="preserve"> </w:t>
      </w:r>
      <w:r w:rsidRPr="000D57FC">
        <w:rPr>
          <w:rFonts w:ascii="Times" w:hAnsi="Times"/>
          <w:sz w:val="22"/>
          <w:szCs w:val="22"/>
        </w:rPr>
        <w:t>women</w:t>
      </w:r>
      <w:r w:rsidR="000E2911" w:rsidRPr="000D57FC">
        <w:rPr>
          <w:rFonts w:ascii="Times" w:hAnsi="Times"/>
          <w:sz w:val="22"/>
          <w:szCs w:val="22"/>
        </w:rPr>
        <w:t xml:space="preserve"> </w:t>
      </w:r>
      <w:r w:rsidRPr="000D57FC">
        <w:rPr>
          <w:rFonts w:ascii="Times" w:hAnsi="Times"/>
          <w:sz w:val="22"/>
          <w:szCs w:val="22"/>
        </w:rPr>
        <w:t>in</w:t>
      </w:r>
      <w:r w:rsidR="000E2911" w:rsidRPr="000D57FC">
        <w:rPr>
          <w:rFonts w:ascii="Times" w:hAnsi="Times"/>
          <w:sz w:val="22"/>
          <w:szCs w:val="22"/>
        </w:rPr>
        <w:t xml:space="preserve"> </w:t>
      </w:r>
      <w:r w:rsidRPr="000D57FC">
        <w:rPr>
          <w:rFonts w:ascii="Times" w:hAnsi="Times"/>
          <w:sz w:val="22"/>
          <w:szCs w:val="22"/>
        </w:rPr>
        <w:t>this</w:t>
      </w:r>
      <w:r w:rsidR="000E2911" w:rsidRPr="000D57FC">
        <w:rPr>
          <w:rFonts w:ascii="Times" w:hAnsi="Times"/>
          <w:sz w:val="22"/>
          <w:szCs w:val="22"/>
        </w:rPr>
        <w:t xml:space="preserve"> </w:t>
      </w:r>
      <w:r w:rsidRPr="000D57FC">
        <w:rPr>
          <w:rFonts w:ascii="Times" w:hAnsi="Times"/>
          <w:sz w:val="22"/>
          <w:szCs w:val="22"/>
        </w:rPr>
        <w:t>study</w:t>
      </w:r>
      <w:r w:rsidR="000E2911" w:rsidRPr="000D57FC">
        <w:rPr>
          <w:rFonts w:ascii="Times" w:hAnsi="Times"/>
          <w:sz w:val="22"/>
          <w:szCs w:val="22"/>
        </w:rPr>
        <w:t xml:space="preserve"> </w:t>
      </w:r>
      <w:r w:rsidRPr="000D57FC">
        <w:rPr>
          <w:rFonts w:ascii="Times" w:hAnsi="Times"/>
          <w:sz w:val="22"/>
          <w:szCs w:val="22"/>
        </w:rPr>
        <w:t>were</w:t>
      </w:r>
      <w:r w:rsidR="000E2911" w:rsidRPr="000D57FC">
        <w:rPr>
          <w:rFonts w:ascii="Times" w:hAnsi="Times"/>
          <w:sz w:val="22"/>
          <w:szCs w:val="22"/>
        </w:rPr>
        <w:t xml:space="preserve"> </w:t>
      </w:r>
      <w:r w:rsidRPr="000D57FC">
        <w:rPr>
          <w:rFonts w:ascii="Times" w:hAnsi="Times"/>
          <w:sz w:val="22"/>
          <w:szCs w:val="22"/>
        </w:rPr>
        <w:t>very</w:t>
      </w:r>
      <w:r w:rsidR="000E2911" w:rsidRPr="000D57FC">
        <w:rPr>
          <w:rFonts w:ascii="Times" w:hAnsi="Times"/>
          <w:sz w:val="22"/>
          <w:szCs w:val="22"/>
        </w:rPr>
        <w:t xml:space="preserve"> </w:t>
      </w:r>
      <w:r w:rsidRPr="000D57FC">
        <w:rPr>
          <w:rFonts w:ascii="Times" w:hAnsi="Times"/>
          <w:sz w:val="22"/>
          <w:szCs w:val="22"/>
        </w:rPr>
        <w:t>active</w:t>
      </w:r>
      <w:r w:rsidR="000E2911" w:rsidRPr="000D57FC">
        <w:rPr>
          <w:rFonts w:ascii="Times" w:hAnsi="Times"/>
          <w:sz w:val="22"/>
          <w:szCs w:val="22"/>
        </w:rPr>
        <w:t xml:space="preserve"> </w:t>
      </w:r>
      <w:r w:rsidRPr="000D57FC">
        <w:rPr>
          <w:rFonts w:ascii="Times" w:hAnsi="Times"/>
          <w:sz w:val="22"/>
          <w:szCs w:val="22"/>
        </w:rPr>
        <w:t>help</w:t>
      </w:r>
      <w:r w:rsidR="000E2911" w:rsidRPr="000D57FC">
        <w:rPr>
          <w:rFonts w:ascii="Times" w:hAnsi="Times"/>
          <w:sz w:val="22"/>
          <w:szCs w:val="22"/>
        </w:rPr>
        <w:t xml:space="preserve"> </w:t>
      </w:r>
      <w:r w:rsidRPr="000D57FC">
        <w:rPr>
          <w:rFonts w:ascii="Times" w:hAnsi="Times"/>
          <w:sz w:val="22"/>
          <w:szCs w:val="22"/>
        </w:rPr>
        <w:t>seekers.</w:t>
      </w:r>
      <w:r w:rsidR="000E2911" w:rsidRPr="000D57FC">
        <w:rPr>
          <w:rFonts w:ascii="Times" w:hAnsi="Times"/>
          <w:sz w:val="22"/>
          <w:szCs w:val="22"/>
        </w:rPr>
        <w:t xml:space="preserve"> </w:t>
      </w:r>
      <w:r w:rsidRPr="000D57FC">
        <w:rPr>
          <w:rFonts w:ascii="Times" w:hAnsi="Times"/>
          <w:sz w:val="22"/>
          <w:szCs w:val="22"/>
        </w:rPr>
        <w:t>They</w:t>
      </w:r>
      <w:r w:rsidR="000E2911" w:rsidRPr="000D57FC">
        <w:rPr>
          <w:rFonts w:ascii="Times" w:hAnsi="Times"/>
          <w:sz w:val="22"/>
          <w:szCs w:val="22"/>
        </w:rPr>
        <w:t xml:space="preserve"> </w:t>
      </w:r>
      <w:r w:rsidRPr="000D57FC">
        <w:rPr>
          <w:rFonts w:ascii="Times" w:hAnsi="Times"/>
          <w:sz w:val="22"/>
          <w:szCs w:val="22"/>
        </w:rPr>
        <w:t>encountered many gaps in continuity of care including discharge because of</w:t>
      </w:r>
      <w:r w:rsidR="000E2911" w:rsidRPr="000D57FC">
        <w:rPr>
          <w:rFonts w:ascii="Times" w:hAnsi="Times"/>
          <w:sz w:val="22"/>
          <w:szCs w:val="22"/>
        </w:rPr>
        <w:t xml:space="preserve"> </w:t>
      </w:r>
      <w:r w:rsidRPr="000D57FC">
        <w:rPr>
          <w:rFonts w:ascii="Times" w:hAnsi="Times"/>
          <w:sz w:val="22"/>
          <w:szCs w:val="22"/>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rsidRPr="000D57FC">
        <w:rPr>
          <w:rFonts w:ascii="Times" w:hAnsi="Times"/>
          <w:sz w:val="22"/>
          <w:szCs w:val="22"/>
        </w:rPr>
        <w:t xml:space="preserve"> </w:t>
      </w:r>
      <w:r w:rsidRPr="000D57FC">
        <w:rPr>
          <w:rFonts w:ascii="Times" w:hAnsi="Times"/>
          <w:sz w:val="22"/>
          <w:szCs w:val="22"/>
        </w:rPr>
        <w:t>not</w:t>
      </w:r>
      <w:r w:rsidR="000E2911" w:rsidRPr="000D57FC">
        <w:rPr>
          <w:rFonts w:ascii="Times" w:hAnsi="Times"/>
          <w:sz w:val="22"/>
          <w:szCs w:val="22"/>
        </w:rPr>
        <w:t xml:space="preserve"> </w:t>
      </w:r>
      <w:r w:rsidRPr="000D57FC">
        <w:rPr>
          <w:rFonts w:ascii="Times" w:hAnsi="Times"/>
          <w:sz w:val="22"/>
          <w:szCs w:val="22"/>
        </w:rPr>
        <w:t>always</w:t>
      </w:r>
      <w:r w:rsidR="000E2911" w:rsidRPr="000D57FC">
        <w:rPr>
          <w:rFonts w:ascii="Times" w:hAnsi="Times"/>
          <w:sz w:val="22"/>
          <w:szCs w:val="22"/>
        </w:rPr>
        <w:t xml:space="preserve"> </w:t>
      </w:r>
      <w:r w:rsidRPr="000D57FC">
        <w:rPr>
          <w:rFonts w:ascii="Times" w:hAnsi="Times"/>
          <w:sz w:val="22"/>
          <w:szCs w:val="22"/>
        </w:rPr>
        <w:t>recognize</w:t>
      </w:r>
      <w:r w:rsidR="000E2911" w:rsidRPr="000D57FC">
        <w:rPr>
          <w:rFonts w:ascii="Times" w:hAnsi="Times"/>
          <w:sz w:val="22"/>
          <w:szCs w:val="22"/>
        </w:rPr>
        <w:t xml:space="preserve"> </w:t>
      </w:r>
      <w:r w:rsidRPr="000D57FC">
        <w:rPr>
          <w:rFonts w:ascii="Times" w:hAnsi="Times"/>
          <w:sz w:val="22"/>
          <w:szCs w:val="22"/>
        </w:rPr>
        <w:t>their</w:t>
      </w:r>
      <w:r w:rsidR="000E2911" w:rsidRPr="000D57FC">
        <w:rPr>
          <w:rFonts w:ascii="Times" w:hAnsi="Times"/>
          <w:sz w:val="22"/>
          <w:szCs w:val="22"/>
        </w:rPr>
        <w:t xml:space="preserve"> </w:t>
      </w:r>
      <w:r w:rsidRPr="000D57FC">
        <w:rPr>
          <w:rFonts w:ascii="Times" w:hAnsi="Times"/>
          <w:sz w:val="22"/>
          <w:szCs w:val="22"/>
        </w:rPr>
        <w:t>calls</w:t>
      </w:r>
      <w:r w:rsidR="000E2911" w:rsidRPr="000D57FC">
        <w:rPr>
          <w:rFonts w:ascii="Times" w:hAnsi="Times"/>
          <w:sz w:val="22"/>
          <w:szCs w:val="22"/>
        </w:rPr>
        <w:t xml:space="preserve"> </w:t>
      </w:r>
      <w:r w:rsidRPr="000D57FC">
        <w:rPr>
          <w:rFonts w:ascii="Times" w:hAnsi="Times"/>
          <w:sz w:val="22"/>
          <w:szCs w:val="22"/>
        </w:rPr>
        <w:t>for</w:t>
      </w:r>
      <w:r w:rsidR="000E2911" w:rsidRPr="000D57FC">
        <w:rPr>
          <w:rFonts w:ascii="Times" w:hAnsi="Times"/>
          <w:sz w:val="22"/>
          <w:szCs w:val="22"/>
        </w:rPr>
        <w:t xml:space="preserve"> </w:t>
      </w:r>
      <w:r w:rsidRPr="000D57FC">
        <w:rPr>
          <w:rFonts w:ascii="Times" w:hAnsi="Times"/>
          <w:sz w:val="22"/>
          <w:szCs w:val="22"/>
        </w:rPr>
        <w:t>help</w:t>
      </w:r>
      <w:r w:rsidR="000E2911" w:rsidRPr="000D57FC">
        <w:rPr>
          <w:rFonts w:ascii="Times" w:hAnsi="Times"/>
          <w:sz w:val="22"/>
          <w:szCs w:val="22"/>
        </w:rPr>
        <w:t xml:space="preserve"> </w:t>
      </w:r>
      <w:r w:rsidRPr="000D57FC">
        <w:rPr>
          <w:rFonts w:ascii="Times" w:hAnsi="Times"/>
          <w:sz w:val="22"/>
          <w:szCs w:val="22"/>
        </w:rPr>
        <w:t>or</w:t>
      </w:r>
      <w:r w:rsidR="000E2911" w:rsidRPr="000D57FC">
        <w:rPr>
          <w:rFonts w:ascii="Times" w:hAnsi="Times"/>
          <w:sz w:val="22"/>
          <w:szCs w:val="22"/>
        </w:rPr>
        <w:t xml:space="preserve"> </w:t>
      </w:r>
      <w:r w:rsidRPr="000D57FC">
        <w:rPr>
          <w:rFonts w:ascii="Times" w:hAnsi="Times"/>
          <w:sz w:val="22"/>
          <w:szCs w:val="22"/>
        </w:rPr>
        <w:t>their</w:t>
      </w:r>
      <w:r w:rsidR="000E2911" w:rsidRPr="000D57FC">
        <w:rPr>
          <w:rFonts w:ascii="Times" w:hAnsi="Times"/>
          <w:sz w:val="22"/>
          <w:szCs w:val="22"/>
        </w:rPr>
        <w:t xml:space="preserve"> </w:t>
      </w:r>
      <w:r w:rsidRPr="000D57FC">
        <w:rPr>
          <w:rFonts w:ascii="Times" w:hAnsi="Times"/>
          <w:sz w:val="22"/>
          <w:szCs w:val="22"/>
        </w:rPr>
        <w:t>symptoms</w:t>
      </w:r>
      <w:r w:rsidR="000E2911" w:rsidRPr="000D57FC">
        <w:rPr>
          <w:rFonts w:ascii="Times" w:hAnsi="Times"/>
          <w:sz w:val="22"/>
          <w:szCs w:val="22"/>
        </w:rPr>
        <w:t xml:space="preserve"> </w:t>
      </w:r>
      <w:r w:rsidRPr="000D57FC">
        <w:rPr>
          <w:rFonts w:ascii="Times" w:hAnsi="Times"/>
          <w:sz w:val="22"/>
          <w:szCs w:val="22"/>
        </w:rPr>
        <w:t>of</w:t>
      </w:r>
      <w:r w:rsidR="000E2911" w:rsidRPr="000D57FC">
        <w:rPr>
          <w:rFonts w:ascii="Times" w:hAnsi="Times"/>
          <w:sz w:val="22"/>
          <w:szCs w:val="22"/>
        </w:rPr>
        <w:t xml:space="preserve"> </w:t>
      </w:r>
      <w:r w:rsidRPr="000D57FC">
        <w:rPr>
          <w:rFonts w:ascii="Times" w:hAnsi="Times"/>
          <w:sz w:val="22"/>
          <w:szCs w:val="22"/>
        </w:rPr>
        <w:t>distress. Recommendations are made for treatment centers to become trauma- informed that would help this</w:t>
      </w:r>
      <w:r w:rsidR="000E2911" w:rsidRPr="000D57FC">
        <w:rPr>
          <w:rFonts w:ascii="Times" w:hAnsi="Times"/>
          <w:sz w:val="22"/>
          <w:szCs w:val="22"/>
        </w:rPr>
        <w:t xml:space="preserve"> </w:t>
      </w:r>
      <w:r w:rsidRPr="000D57FC">
        <w:rPr>
          <w:rFonts w:ascii="Times" w:hAnsi="Times"/>
          <w:sz w:val="22"/>
          <w:szCs w:val="22"/>
        </w:rPr>
        <w:t>recognition.</w:t>
      </w:r>
    </w:p>
    <w:p w14:paraId="62D88C62" w14:textId="77777777" w:rsidR="00AE3E37" w:rsidRPr="000D57FC" w:rsidRDefault="00AE3E37">
      <w:pPr>
        <w:pStyle w:val="BodyText"/>
        <w:spacing w:before="5"/>
        <w:rPr>
          <w:rFonts w:ascii="Times" w:hAnsi="Times"/>
          <w:sz w:val="22"/>
          <w:szCs w:val="22"/>
        </w:rPr>
      </w:pPr>
    </w:p>
    <w:p w14:paraId="288E728E" w14:textId="77777777" w:rsidR="00AE3E37" w:rsidRPr="000D57FC" w:rsidRDefault="00A9710C">
      <w:pPr>
        <w:pStyle w:val="Heading3"/>
        <w:jc w:val="both"/>
        <w:rPr>
          <w:rFonts w:ascii="Times" w:hAnsi="Times"/>
          <w:sz w:val="22"/>
          <w:szCs w:val="22"/>
        </w:rPr>
      </w:pPr>
      <w:r w:rsidRPr="000D57FC">
        <w:rPr>
          <w:rFonts w:ascii="Times" w:hAnsi="Times"/>
          <w:color w:val="BF5A14"/>
          <w:sz w:val="22"/>
          <w:szCs w:val="22"/>
        </w:rPr>
        <w:t>Image</w:t>
      </w:r>
    </w:p>
    <w:p w14:paraId="7BCD7B16" w14:textId="77777777" w:rsidR="00AE3E37" w:rsidRPr="000D57FC" w:rsidRDefault="00A9710C">
      <w:pPr>
        <w:pStyle w:val="BodyText"/>
        <w:spacing w:before="1"/>
        <w:rPr>
          <w:rFonts w:ascii="Times" w:hAnsi="Times"/>
          <w:b/>
          <w:sz w:val="22"/>
          <w:szCs w:val="22"/>
        </w:rPr>
      </w:pPr>
      <w:r w:rsidRPr="000D57FC">
        <w:rPr>
          <w:rFonts w:ascii="Times" w:hAnsi="Times"/>
          <w:noProof/>
          <w:sz w:val="22"/>
          <w:szCs w:val="22"/>
        </w:rPr>
        <w:drawing>
          <wp:anchor distT="0" distB="0" distL="0" distR="0" simplePos="0" relativeHeight="1120" behindDoc="0" locked="0" layoutInCell="1" allowOverlap="1" wp14:anchorId="7D5CC57D" wp14:editId="6B1148A4">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29" cstate="print"/>
                    <a:stretch>
                      <a:fillRect/>
                    </a:stretch>
                  </pic:blipFill>
                  <pic:spPr>
                    <a:xfrm>
                      <a:off x="0" y="0"/>
                      <a:ext cx="3235637" cy="1609725"/>
                    </a:xfrm>
                    <a:prstGeom prst="rect">
                      <a:avLst/>
                    </a:prstGeom>
                  </pic:spPr>
                </pic:pic>
              </a:graphicData>
            </a:graphic>
          </wp:anchor>
        </w:drawing>
      </w:r>
    </w:p>
    <w:p w14:paraId="14F80277" w14:textId="77777777" w:rsidR="00AE3E37" w:rsidRPr="000D57FC" w:rsidRDefault="00AE3E37">
      <w:pPr>
        <w:pStyle w:val="BodyText"/>
        <w:rPr>
          <w:rFonts w:ascii="Times" w:hAnsi="Times"/>
          <w:b/>
          <w:sz w:val="22"/>
          <w:szCs w:val="22"/>
        </w:rPr>
      </w:pPr>
    </w:p>
    <w:p w14:paraId="0983524C" w14:textId="77777777" w:rsidR="00AE3E37" w:rsidRPr="000D57FC" w:rsidRDefault="00AE3E37">
      <w:pPr>
        <w:pStyle w:val="BodyText"/>
        <w:spacing w:before="8"/>
        <w:rPr>
          <w:rFonts w:ascii="Times" w:hAnsi="Times"/>
          <w:b/>
          <w:sz w:val="22"/>
          <w:szCs w:val="22"/>
        </w:rPr>
      </w:pPr>
    </w:p>
    <w:p w14:paraId="0DF8D088" w14:textId="77777777" w:rsidR="00AE3E37" w:rsidRPr="000D57FC" w:rsidRDefault="00A9710C">
      <w:pPr>
        <w:ind w:left="100"/>
        <w:jc w:val="both"/>
        <w:rPr>
          <w:rFonts w:ascii="Times" w:hAnsi="Times"/>
          <w:b/>
        </w:rPr>
      </w:pPr>
      <w:r w:rsidRPr="000D57FC">
        <w:rPr>
          <w:rFonts w:ascii="Times" w:hAnsi="Times"/>
          <w:b/>
        </w:rPr>
        <w:t>Notes/Comments:</w:t>
      </w:r>
    </w:p>
    <w:p w14:paraId="1D64973F" w14:textId="77777777" w:rsidR="00AE3E37" w:rsidRPr="000D57FC" w:rsidRDefault="00A9710C" w:rsidP="00C33602">
      <w:pPr>
        <w:spacing w:line="204" w:lineRule="exact"/>
        <w:rPr>
          <w:rFonts w:ascii="Times" w:hAnsi="Times"/>
          <w:b/>
        </w:rPr>
      </w:pPr>
      <w:r w:rsidRPr="000D57FC">
        <w:rPr>
          <w:rFonts w:ascii="Times" w:hAnsi="Times"/>
        </w:rPr>
        <w:br w:type="column"/>
      </w:r>
      <w:r w:rsidR="00414F7B" w:rsidRPr="000D57FC">
        <w:rPr>
          <w:rFonts w:ascii="Times" w:hAnsi="Times"/>
          <w:b/>
          <w:color w:val="BF5A14"/>
        </w:rPr>
        <w:lastRenderedPageBreak/>
        <w:t xml:space="preserve">Recent </w:t>
      </w:r>
      <w:r w:rsidR="00C33602" w:rsidRPr="000D57FC">
        <w:rPr>
          <w:rFonts w:ascii="Times" w:hAnsi="Times"/>
          <w:b/>
          <w:color w:val="BF5A14"/>
        </w:rPr>
        <w:t>P</w:t>
      </w:r>
      <w:r w:rsidR="00414F7B" w:rsidRPr="000D57FC">
        <w:rPr>
          <w:rFonts w:ascii="Times" w:hAnsi="Times"/>
          <w:b/>
          <w:color w:val="BF5A14"/>
        </w:rPr>
        <w:t>ubli</w:t>
      </w:r>
      <w:r w:rsidR="00C33602" w:rsidRPr="000D57FC">
        <w:rPr>
          <w:rFonts w:ascii="Times" w:hAnsi="Times"/>
          <w:b/>
          <w:color w:val="BF5A14"/>
        </w:rPr>
        <w:t>cations (minimum 5)</w:t>
      </w:r>
    </w:p>
    <w:p w14:paraId="370B1B50" w14:textId="77777777" w:rsidR="00AE3E37" w:rsidRPr="000D57FC" w:rsidRDefault="00A9710C">
      <w:pPr>
        <w:pStyle w:val="ListParagraph"/>
        <w:numPr>
          <w:ilvl w:val="0"/>
          <w:numId w:val="1"/>
        </w:numPr>
        <w:tabs>
          <w:tab w:val="left" w:pos="384"/>
        </w:tabs>
        <w:spacing w:before="103" w:line="216" w:lineRule="exact"/>
        <w:ind w:right="138" w:hanging="283"/>
        <w:jc w:val="both"/>
        <w:rPr>
          <w:rFonts w:ascii="Times" w:hAnsi="Times"/>
        </w:rPr>
      </w:pPr>
      <w:r w:rsidRPr="000D57FC">
        <w:rPr>
          <w:rFonts w:ascii="Times" w:hAnsi="Times"/>
        </w:rPr>
        <w:t xml:space="preserve">Harper C (2009) </w:t>
      </w:r>
      <w:hyperlink r:id="rId30">
        <w:r w:rsidRPr="000D57FC">
          <w:rPr>
            <w:rFonts w:ascii="Times" w:hAnsi="Times"/>
          </w:rPr>
          <w:t>The neuropathology of alcohol-related brain</w:t>
        </w:r>
      </w:hyperlink>
      <w:hyperlink r:id="rId31">
        <w:r w:rsidRPr="000D57FC">
          <w:rPr>
            <w:rFonts w:ascii="Times" w:hAnsi="Times"/>
          </w:rPr>
          <w:t>damage.</w:t>
        </w:r>
        <w:r w:rsidR="000E2911" w:rsidRPr="000D57FC">
          <w:rPr>
            <w:rFonts w:ascii="Times" w:hAnsi="Times"/>
          </w:rPr>
          <w:t xml:space="preserve"> </w:t>
        </w:r>
        <w:r w:rsidRPr="000D57FC">
          <w:rPr>
            <w:rFonts w:ascii="Times" w:hAnsi="Times"/>
          </w:rPr>
          <w:t>Alcohol Alcohol 44:136-140.</w:t>
        </w:r>
      </w:hyperlink>
    </w:p>
    <w:p w14:paraId="40239438" w14:textId="77777777" w:rsidR="00AE3E37" w:rsidRPr="000D57FC" w:rsidRDefault="00A9710C">
      <w:pPr>
        <w:pStyle w:val="ListParagraph"/>
        <w:numPr>
          <w:ilvl w:val="0"/>
          <w:numId w:val="1"/>
        </w:numPr>
        <w:tabs>
          <w:tab w:val="left" w:pos="384"/>
        </w:tabs>
        <w:spacing w:line="216" w:lineRule="exact"/>
        <w:ind w:right="137" w:hanging="283"/>
        <w:jc w:val="both"/>
        <w:rPr>
          <w:rFonts w:ascii="Times" w:hAnsi="Times"/>
        </w:rPr>
      </w:pPr>
      <w:r w:rsidRPr="000D57FC">
        <w:rPr>
          <w:rFonts w:ascii="Times" w:hAnsi="Times"/>
        </w:rPr>
        <w:t xml:space="preserve">Heilig M, Egli M (2006) Pharmacological treatment of alcohol dependence: </w:t>
      </w:r>
      <w:r w:rsidRPr="000D57FC">
        <w:rPr>
          <w:rFonts w:ascii="Times" w:hAnsi="Times"/>
          <w:spacing w:val="-4"/>
        </w:rPr>
        <w:t xml:space="preserve">Target </w:t>
      </w:r>
      <w:r w:rsidRPr="000D57FC">
        <w:rPr>
          <w:rFonts w:ascii="Times" w:hAnsi="Times"/>
        </w:rPr>
        <w:t>symptoms and target mechanisms. Pharmacology and therapeutics 111:855-876.</w:t>
      </w:r>
    </w:p>
    <w:p w14:paraId="2FF9FF1D" w14:textId="77777777" w:rsidR="00AE3E37" w:rsidRPr="000D57FC" w:rsidRDefault="00A9710C">
      <w:pPr>
        <w:pStyle w:val="ListParagraph"/>
        <w:numPr>
          <w:ilvl w:val="0"/>
          <w:numId w:val="1"/>
        </w:numPr>
        <w:tabs>
          <w:tab w:val="left" w:pos="384"/>
        </w:tabs>
        <w:spacing w:line="216" w:lineRule="exact"/>
        <w:ind w:right="138" w:hanging="283"/>
        <w:jc w:val="both"/>
        <w:rPr>
          <w:rFonts w:ascii="Times" w:hAnsi="Times"/>
        </w:rPr>
      </w:pPr>
      <w:r w:rsidRPr="000D57FC">
        <w:rPr>
          <w:rFonts w:ascii="Times" w:hAnsi="Times"/>
        </w:rPr>
        <w:t>LiX,</w:t>
      </w:r>
      <w:r w:rsidR="000E2911" w:rsidRPr="000D57FC">
        <w:rPr>
          <w:rFonts w:ascii="Times" w:hAnsi="Times"/>
        </w:rPr>
        <w:t xml:space="preserve"> </w:t>
      </w:r>
      <w:r w:rsidRPr="000D57FC">
        <w:rPr>
          <w:rFonts w:ascii="Times" w:hAnsi="Times"/>
        </w:rPr>
        <w:t>SchwachaMG,</w:t>
      </w:r>
      <w:r w:rsidR="000E2911" w:rsidRPr="000D57FC">
        <w:rPr>
          <w:rFonts w:ascii="Times" w:hAnsi="Times"/>
        </w:rPr>
        <w:t xml:space="preserve"> </w:t>
      </w:r>
      <w:r w:rsidRPr="000D57FC">
        <w:rPr>
          <w:rFonts w:ascii="Times" w:hAnsi="Times"/>
        </w:rPr>
        <w:t>ChaudryIH,</w:t>
      </w:r>
      <w:r w:rsidR="000E2911" w:rsidRPr="000D57FC">
        <w:rPr>
          <w:rFonts w:ascii="Times" w:hAnsi="Times"/>
        </w:rPr>
        <w:t xml:space="preserve"> </w:t>
      </w:r>
      <w:r w:rsidRPr="000D57FC">
        <w:rPr>
          <w:rFonts w:ascii="Times" w:hAnsi="Times"/>
        </w:rPr>
        <w:t>ChoudhryMA</w:t>
      </w:r>
      <w:r w:rsidR="00C33602" w:rsidRPr="000D57FC">
        <w:rPr>
          <w:rFonts w:ascii="Times" w:hAnsi="Times"/>
        </w:rPr>
        <w:t xml:space="preserve"> </w:t>
      </w:r>
      <w:r w:rsidRPr="000D57FC">
        <w:rPr>
          <w:rFonts w:ascii="Times" w:hAnsi="Times"/>
        </w:rPr>
        <w:t>(2008)Acutealcohol intoxication potentiates neutrophil-mediated intestinal tissue damage after burn injury. Shock 29:377.</w:t>
      </w:r>
    </w:p>
    <w:p w14:paraId="24BCBC0D" w14:textId="77777777" w:rsidR="00AE3E37" w:rsidRPr="000D57FC" w:rsidRDefault="00A9710C">
      <w:pPr>
        <w:pStyle w:val="ListParagraph"/>
        <w:numPr>
          <w:ilvl w:val="0"/>
          <w:numId w:val="1"/>
        </w:numPr>
        <w:tabs>
          <w:tab w:val="left" w:pos="384"/>
        </w:tabs>
        <w:spacing w:before="92" w:line="218" w:lineRule="exact"/>
        <w:ind w:hanging="283"/>
        <w:rPr>
          <w:rFonts w:ascii="Times" w:hAnsi="Times"/>
        </w:rPr>
      </w:pPr>
      <w:r w:rsidRPr="000D57FC">
        <w:rPr>
          <w:rFonts w:ascii="Times" w:hAnsi="Times"/>
        </w:rPr>
        <w:t>Room R, Babor</w:t>
      </w:r>
      <w:r w:rsidRPr="000D57FC">
        <w:rPr>
          <w:rFonts w:ascii="Times" w:hAnsi="Times"/>
          <w:spacing w:val="-10"/>
        </w:rPr>
        <w:t xml:space="preserve">T, </w:t>
      </w:r>
      <w:r w:rsidRPr="000D57FC">
        <w:rPr>
          <w:rFonts w:ascii="Times" w:hAnsi="Times"/>
        </w:rPr>
        <w:t xml:space="preserve">Rehm J (2005) </w:t>
      </w:r>
      <w:hyperlink r:id="rId32">
        <w:r w:rsidRPr="000D57FC">
          <w:rPr>
            <w:rFonts w:ascii="Times" w:hAnsi="Times"/>
          </w:rPr>
          <w:t>Alcohol and public health.</w:t>
        </w:r>
        <w:r w:rsidR="000E2911" w:rsidRPr="000D57FC">
          <w:rPr>
            <w:rFonts w:ascii="Times" w:hAnsi="Times"/>
          </w:rPr>
          <w:t xml:space="preserve"> </w:t>
        </w:r>
        <w:r w:rsidRPr="000D57FC">
          <w:rPr>
            <w:rFonts w:ascii="Times" w:hAnsi="Times"/>
          </w:rPr>
          <w:t>Lancet</w:t>
        </w:r>
      </w:hyperlink>
    </w:p>
    <w:p w14:paraId="77870142" w14:textId="77777777" w:rsidR="00AE3E37" w:rsidRPr="000D57FC" w:rsidRDefault="00083084">
      <w:pPr>
        <w:pStyle w:val="BodyText"/>
        <w:spacing w:line="218" w:lineRule="exact"/>
        <w:ind w:left="383"/>
        <w:rPr>
          <w:rFonts w:ascii="Times" w:hAnsi="Times"/>
          <w:sz w:val="22"/>
          <w:szCs w:val="22"/>
        </w:rPr>
      </w:pPr>
      <w:hyperlink r:id="rId33">
        <w:r w:rsidR="00A9710C" w:rsidRPr="000D57FC">
          <w:rPr>
            <w:rFonts w:ascii="Times" w:hAnsi="Times"/>
            <w:sz w:val="22"/>
            <w:szCs w:val="22"/>
          </w:rPr>
          <w:t>365: 519-530.</w:t>
        </w:r>
      </w:hyperlink>
    </w:p>
    <w:p w14:paraId="11482635" w14:textId="77777777" w:rsidR="00AE3E37" w:rsidRPr="000D57FC" w:rsidRDefault="00A9710C">
      <w:pPr>
        <w:pStyle w:val="BodyText"/>
        <w:spacing w:before="85" w:line="216" w:lineRule="exact"/>
        <w:ind w:left="383" w:right="138" w:hanging="284"/>
        <w:jc w:val="both"/>
        <w:rPr>
          <w:rFonts w:ascii="Times" w:hAnsi="Times"/>
          <w:sz w:val="22"/>
          <w:szCs w:val="22"/>
        </w:rPr>
      </w:pPr>
      <w:r w:rsidRPr="000D57FC">
        <w:rPr>
          <w:rFonts w:ascii="Times" w:hAnsi="Times"/>
          <w:sz w:val="22"/>
          <w:szCs w:val="22"/>
        </w:rPr>
        <w:t xml:space="preserve">5. Sullivan </w:t>
      </w:r>
      <w:r w:rsidRPr="000D57FC">
        <w:rPr>
          <w:rFonts w:ascii="Times" w:hAnsi="Times"/>
          <w:spacing w:val="-5"/>
          <w:sz w:val="22"/>
          <w:szCs w:val="22"/>
        </w:rPr>
        <w:t xml:space="preserve">EV, </w:t>
      </w:r>
      <w:r w:rsidRPr="000D57FC">
        <w:rPr>
          <w:rFonts w:ascii="Times" w:hAnsi="Times"/>
          <w:sz w:val="22"/>
          <w:szCs w:val="22"/>
        </w:rPr>
        <w:t>Zahr NM (2008) Neuroinflamma</w:t>
      </w:r>
      <w:r w:rsidR="000E2911" w:rsidRPr="000D57FC">
        <w:rPr>
          <w:rFonts w:ascii="Times" w:hAnsi="Times"/>
          <w:sz w:val="22"/>
          <w:szCs w:val="22"/>
        </w:rPr>
        <w:t xml:space="preserve">tion as a neurotoxic mechanism </w:t>
      </w:r>
      <w:r w:rsidRPr="000D57FC">
        <w:rPr>
          <w:rFonts w:ascii="Times" w:hAnsi="Times"/>
          <w:sz w:val="22"/>
          <w:szCs w:val="22"/>
        </w:rPr>
        <w:t xml:space="preserve">in  alcoholism:  Commentary  on  “Increased  MCP-    1 and microglia in various regions of human alcoholic </w:t>
      </w:r>
      <w:r w:rsidRPr="000D57FC">
        <w:rPr>
          <w:rFonts w:ascii="Times" w:hAnsi="Times"/>
          <w:spacing w:val="-4"/>
          <w:sz w:val="22"/>
          <w:szCs w:val="22"/>
        </w:rPr>
        <w:t xml:space="preserve">brain”. </w:t>
      </w:r>
      <w:r w:rsidRPr="000D57FC">
        <w:rPr>
          <w:rFonts w:ascii="Times" w:hAnsi="Times"/>
          <w:sz w:val="22"/>
          <w:szCs w:val="22"/>
        </w:rPr>
        <w:t>Experimental neurology 213:10-17.</w:t>
      </w:r>
    </w:p>
    <w:sectPr w:rsidR="00AE3E37" w:rsidRPr="000D57F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BB5341" w14:textId="77777777" w:rsidR="00C96DA4" w:rsidRDefault="00C96DA4">
      <w:r>
        <w:separator/>
      </w:r>
    </w:p>
  </w:endnote>
  <w:endnote w:type="continuationSeparator" w:id="0">
    <w:p w14:paraId="20D0DF94" w14:textId="77777777" w:rsidR="00C96DA4" w:rsidRDefault="00C96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E25CA" w14:textId="77777777" w:rsidR="00AE3E37" w:rsidRDefault="0088116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8E8DAE" wp14:editId="52DE02C2">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C26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6B01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E8DA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o4wlHLICAACwBQAA&#10;DgAAAAAAAAAAAAAAAAAsAgAAZHJzL2Uyb0RvYy54bWxQSwECLQAUAAYACAAAACEAZgsQheEAAAAM&#10;AQAADwAAAAAAAAAAAAAAAAAKBQAAZHJzL2Rvd25yZXYueG1sUEsFBgAAAAAEAAQA8wAAABgGAAAA&#10;AA==&#10;" filled="f" stroked="f">
              <v:textbox inset="0,0,0,0">
                <w:txbxContent>
                  <w:p w14:paraId="5E4C26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6B01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A1CAF4F" wp14:editId="297E3395">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B7E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2F08B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CAF4F"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Q7j7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ECkO4+wAgAAsAUAAA4A&#10;AAAAAAAAAAAAAAAALAIAAGRycy9lMm9Eb2MueG1sUEsBAi0AFAAGAAgAAAAhAHWpH53hAAAADQEA&#10;AA8AAAAAAAAAAAAAAAAACAUAAGRycy9kb3ducmV2LnhtbFBLBQYAAAAABAAEAPMAAAAWBgAAAAA=&#10;" filled="f" stroked="f">
              <v:textbox inset="0,0,0,0">
                <w:txbxContent>
                  <w:p w14:paraId="02FB7E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2F08B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98D9259" wp14:editId="77345B83">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9BB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CBAC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D9259"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Gqba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jh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TRqm2vAgAAsAUAAA4A&#10;AAAAAAAAAAAAAAAALAIAAGRycy9lMm9Eb2MueG1sUEsBAi0AFAAGAAgAAAAhAOMtck7iAAAADgEA&#10;AA8AAAAAAAAAAAAAAAAABwUAAGRycy9kb3ducmV2LnhtbFBLBQYAAAAABAAEAPMAAAAWBgAAAAA=&#10;" filled="f" stroked="f">
              <v:textbox inset="0,0,0,0">
                <w:txbxContent>
                  <w:p w14:paraId="4239BB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CBAC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1C9BB7" w14:textId="77777777" w:rsidR="00C96DA4" w:rsidRDefault="00C96DA4">
      <w:r>
        <w:separator/>
      </w:r>
    </w:p>
  </w:footnote>
  <w:footnote w:type="continuationSeparator" w:id="0">
    <w:p w14:paraId="20887B93" w14:textId="77777777" w:rsidR="00C96DA4" w:rsidRDefault="00C96DA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518A8" w14:textId="77777777" w:rsidR="00AE3E37" w:rsidRDefault="0088116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0739EB0" wp14:editId="2E9BAFBD">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7A21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39EB0"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vUtq4CAACp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JRvUtq4CAACpBQAADgAAAAAA&#10;AAAAAAAAAAAsAgAAZHJzL2Uyb0RvYy54bWxQSwECLQAUAAYACAAAACEA2GgqxN8AAAAKAQAADwAA&#10;AAAAAAAAAAAAAAAGBQAAZHJzL2Rvd25yZXYueG1sUEsFBgAAAAAEAAQA8wAAABIGAAAAAA==&#10;" filled="f" stroked="f">
              <v:textbox inset="0,0,0,0">
                <w:txbxContent>
                  <w:p w14:paraId="2EA7A21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5B1AB6C" wp14:editId="2C0A05D5">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3089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BC49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1AB6C"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foa7A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H/H6GuwAgAAsAUAAA4AAAAA&#10;AAAAAAAAAAAALAIAAGRycy9lMm9Eb2MueG1sUEsBAi0AFAAGAAgAAAAhAL2RQBbeAAAACgEAAA8A&#10;AAAAAAAAAAAAAAAACAUAAGRycy9kb3ducmV2LnhtbFBLBQYAAAAABAAEAPMAAAATBgAAAAA=&#10;" filled="f" stroked="f">
              <v:textbox inset="0,0,0,0">
                <w:txbxContent>
                  <w:p w14:paraId="3593089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BC49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FB74390C"/>
    <w:lvl w:ilvl="0">
      <w:start w:val="1"/>
      <w:numFmt w:val="decimal"/>
      <w:lvlText w:val="%1."/>
      <w:lvlJc w:val="left"/>
      <w:pPr>
        <w:ind w:left="720" w:hanging="360"/>
      </w:pPr>
      <w:rPr>
        <w:b w:val="0"/>
      </w:rPr>
    </w:lvl>
  </w:abstractNum>
  <w:abstractNum w:abstractNumId="1">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2AC"/>
    <w:rsid w:val="00083084"/>
    <w:rsid w:val="000D57FC"/>
    <w:rsid w:val="000E2911"/>
    <w:rsid w:val="001263DF"/>
    <w:rsid w:val="002B2AF0"/>
    <w:rsid w:val="00404E5B"/>
    <w:rsid w:val="00414F7B"/>
    <w:rsid w:val="004355DC"/>
    <w:rsid w:val="004749B4"/>
    <w:rsid w:val="004F3523"/>
    <w:rsid w:val="005B3A56"/>
    <w:rsid w:val="006060CE"/>
    <w:rsid w:val="0063497F"/>
    <w:rsid w:val="00660A34"/>
    <w:rsid w:val="00873DF0"/>
    <w:rsid w:val="00881168"/>
    <w:rsid w:val="009B2D44"/>
    <w:rsid w:val="009B597B"/>
    <w:rsid w:val="00A9710C"/>
    <w:rsid w:val="00AE3E37"/>
    <w:rsid w:val="00B21A57"/>
    <w:rsid w:val="00BF3F7A"/>
    <w:rsid w:val="00C33602"/>
    <w:rsid w:val="00C96DA4"/>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C568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Emphasis">
    <w:name w:val="Emphasis"/>
    <w:uiPriority w:val="20"/>
    <w:qFormat/>
    <w:rsid w:val="009B59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ncbi.nlm.nih.gov/pubmed/?term=Bandea%20C%5BAuthor%5D&amp;cauthor=true&amp;cauthor_uid=27932618" TargetMode="External"/><Relationship Id="rId21" Type="http://schemas.openxmlformats.org/officeDocument/2006/relationships/hyperlink" Target="https://www.ncbi.nlm.nih.gov/pubmed/?term=Svoboda%20P%5BAuthor%5D&amp;cauthor=true&amp;cauthor_uid=27932618" TargetMode="External"/><Relationship Id="rId22" Type="http://schemas.openxmlformats.org/officeDocument/2006/relationships/hyperlink" Target="https://www.ncbi.nlm.nih.gov/pubmed/?term=Pohl%20J%5BAuthor%5D&amp;cauthor=true&amp;cauthor_uid=27932618" TargetMode="External"/><Relationship Id="rId23" Type="http://schemas.openxmlformats.org/officeDocument/2006/relationships/hyperlink" Target="https://www.ncbi.nlm.nih.gov/pubmed/?term=Black%20CM%5BAuthor%5D&amp;cauthor=true&amp;cauthor_uid=27932618" TargetMode="External"/><Relationship Id="rId24" Type="http://schemas.openxmlformats.org/officeDocument/2006/relationships/hyperlink" Target="https://www.ncbi.nlm.nih.gov/pubmed/?term=Igietseme%20JU%5BAuthor%5D&amp;cauthor=true&amp;cauthor_uid=27932618" TargetMode="External"/><Relationship Id="rId25" Type="http://schemas.openxmlformats.org/officeDocument/2006/relationships/image" Target="media/image1.tiff"/><Relationship Id="rId26" Type="http://schemas.openxmlformats.org/officeDocument/2006/relationships/hyperlink" Target="mailto:drdeanna.rpm@hotmail.com" TargetMode="External"/><Relationship Id="rId27" Type="http://schemas.openxmlformats.org/officeDocument/2006/relationships/image" Target="media/image2.png"/><Relationship Id="rId28" Type="http://schemas.openxmlformats.org/officeDocument/2006/relationships/hyperlink" Target="mailto:drdeanna.rpm@hotmail.com" TargetMode="External"/><Relationship Id="rId29" Type="http://schemas.openxmlformats.org/officeDocument/2006/relationships/image" Target="media/image3.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www.ncbi.nlm.nih.gov/pubmed/19147798" TargetMode="External"/><Relationship Id="rId31" Type="http://schemas.openxmlformats.org/officeDocument/2006/relationships/hyperlink" Target="http://www.ncbi.nlm.nih.gov/pubmed/19147798" TargetMode="External"/><Relationship Id="rId32" Type="http://schemas.openxmlformats.org/officeDocument/2006/relationships/hyperlink" Target="http://www.ncbi.nlm.nih.gov/pubmed/15705462" TargetMode="External"/><Relationship Id="rId9" Type="http://schemas.openxmlformats.org/officeDocument/2006/relationships/hyperlink" Target="http://www.ncbi.nlm.nih.gov/pubmed/25698486" TargetMode="Externa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33" Type="http://schemas.openxmlformats.org/officeDocument/2006/relationships/hyperlink" Target="http://www.ncbi.nlm.nih.gov/pubmed/15705462" TargetMode="Externa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www.ncbi.nlm.nih.gov/pubmed/26681200" TargetMode="External"/><Relationship Id="rId11" Type="http://schemas.openxmlformats.org/officeDocument/2006/relationships/hyperlink" Target="http://www.ncbi.nlm.nih.gov/pubmed/26371131" TargetMode="External"/><Relationship Id="rId12" Type="http://schemas.openxmlformats.org/officeDocument/2006/relationships/hyperlink" Target="https://www.ncbi.nlm.nih.gov/pubmed/?term=George%20Z%5BAuthor%5D&amp;cauthor=true&amp;cauthor_uid=27932618" TargetMode="External"/><Relationship Id="rId13" Type="http://schemas.openxmlformats.org/officeDocument/2006/relationships/hyperlink" Target="https://www.ncbi.nlm.nih.gov/pubmed/?term=Omosun%20Y%5BAuthor%5D&amp;cauthor=true&amp;cauthor_uid=27932618" TargetMode="External"/><Relationship Id="rId14" Type="http://schemas.openxmlformats.org/officeDocument/2006/relationships/hyperlink" Target="https://www.ncbi.nlm.nih.gov/pubmed/?term=Azenabor%20AA%5BAuthor%5D&amp;cauthor=true&amp;cauthor_uid=27932618" TargetMode="External"/><Relationship Id="rId15" Type="http://schemas.openxmlformats.org/officeDocument/2006/relationships/hyperlink" Target="https://www.ncbi.nlm.nih.gov/pubmed/?term=Partin%20J%5BAuthor%5D&amp;cauthor=true&amp;cauthor_uid=27932618" TargetMode="External"/><Relationship Id="rId16" Type="http://schemas.openxmlformats.org/officeDocument/2006/relationships/hyperlink" Target="https://www.ncbi.nlm.nih.gov/pubmed/?term=Joseph%20K%5BAuthor%5D&amp;cauthor=true&amp;cauthor_uid=27932618" TargetMode="External"/><Relationship Id="rId17" Type="http://schemas.openxmlformats.org/officeDocument/2006/relationships/hyperlink" Target="https://www.ncbi.nlm.nih.gov/pubmed/?term=Ellerson%20D%5BAuthor%5D&amp;cauthor=true&amp;cauthor_uid=27932618" TargetMode="External"/><Relationship Id="rId18" Type="http://schemas.openxmlformats.org/officeDocument/2006/relationships/hyperlink" Target="https://www.ncbi.nlm.nih.gov/pubmed/?term=He%20Q%5BAuthor%5D&amp;cauthor=true&amp;cauthor_uid=27932618" TargetMode="External"/><Relationship Id="rId19" Type="http://schemas.openxmlformats.org/officeDocument/2006/relationships/hyperlink" Target="https://www.ncbi.nlm.nih.gov/pubmed/?term=Eko%20F%5BAuthor%5D&amp;cauthor=true&amp;cauthor_uid=27932618"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1461</Words>
  <Characters>8332</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Omosun, Yusuf</cp:lastModifiedBy>
  <cp:revision>5</cp:revision>
  <dcterms:created xsi:type="dcterms:W3CDTF">2017-01-03T14:50:00Z</dcterms:created>
  <dcterms:modified xsi:type="dcterms:W3CDTF">2017-01-03T15:23:00Z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