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5010B" w14:textId="77777777" w:rsidR="000B7994" w:rsidRDefault="000B7994" w:rsidP="008B4A4B">
      <w:pPr>
        <w:spacing w:line="240" w:lineRule="auto"/>
        <w:jc w:val="both"/>
        <w:rPr>
          <w:rFonts w:asciiTheme="majorBidi" w:hAnsiTheme="majorBidi" w:cstheme="majorBidi"/>
          <w:b/>
          <w:bCs/>
          <w:sz w:val="24"/>
          <w:szCs w:val="24"/>
        </w:rPr>
      </w:pPr>
      <w:r w:rsidRPr="000B7994">
        <w:rPr>
          <w:rFonts w:asciiTheme="majorBidi" w:hAnsiTheme="majorBidi" w:cstheme="majorBidi"/>
          <w:b/>
          <w:bCs/>
          <w:sz w:val="24"/>
          <w:szCs w:val="24"/>
        </w:rPr>
        <w:t xml:space="preserve">Potentiation of the therapeutic effect of intravesical BCG through Synthetic and Biogenic Selenium Nanoparticles in </w:t>
      </w:r>
      <w:proofErr w:type="gramStart"/>
      <w:r w:rsidRPr="000B7994">
        <w:rPr>
          <w:rFonts w:asciiTheme="majorBidi" w:hAnsiTheme="majorBidi" w:cstheme="majorBidi"/>
          <w:b/>
          <w:bCs/>
          <w:sz w:val="24"/>
          <w:szCs w:val="24"/>
        </w:rPr>
        <w:t>an  nitrosamine</w:t>
      </w:r>
      <w:proofErr w:type="gramEnd"/>
      <w:r w:rsidRPr="000B7994">
        <w:rPr>
          <w:rFonts w:asciiTheme="majorBidi" w:hAnsiTheme="majorBidi" w:cstheme="majorBidi"/>
          <w:b/>
          <w:bCs/>
          <w:sz w:val="24"/>
          <w:szCs w:val="24"/>
        </w:rPr>
        <w:t>-induced bladder cancer mouse model</w:t>
      </w:r>
    </w:p>
    <w:p w14:paraId="70D8624A" w14:textId="6E95E3E7" w:rsidR="008B4A4B" w:rsidRPr="00B13430" w:rsidRDefault="008B4A4B" w:rsidP="008B4A4B">
      <w:pPr>
        <w:spacing w:line="240" w:lineRule="auto"/>
        <w:jc w:val="both"/>
        <w:rPr>
          <w:rFonts w:asciiTheme="majorBidi" w:hAnsiTheme="majorBidi" w:cstheme="majorBidi"/>
          <w:sz w:val="24"/>
          <w:szCs w:val="24"/>
        </w:rPr>
      </w:pPr>
      <w:r w:rsidRPr="00B13430">
        <w:rPr>
          <w:rFonts w:asciiTheme="majorBidi" w:hAnsiTheme="majorBidi" w:cstheme="majorBidi"/>
          <w:sz w:val="24"/>
          <w:szCs w:val="24"/>
        </w:rPr>
        <w:t xml:space="preserve">Mohammad Hossein </w:t>
      </w:r>
      <w:proofErr w:type="spellStart"/>
      <w:r w:rsidRPr="00B13430">
        <w:rPr>
          <w:rFonts w:asciiTheme="majorBidi" w:hAnsiTheme="majorBidi" w:cstheme="majorBidi"/>
          <w:sz w:val="24"/>
          <w:szCs w:val="24"/>
        </w:rPr>
        <w:t>Yazdi</w:t>
      </w:r>
      <w:proofErr w:type="spellEnd"/>
      <w:r w:rsidRPr="00B13430">
        <w:rPr>
          <w:rFonts w:asciiTheme="majorBidi" w:hAnsiTheme="majorBidi" w:cstheme="majorBidi"/>
          <w:sz w:val="24"/>
          <w:szCs w:val="24"/>
        </w:rPr>
        <w:t xml:space="preserve">, </w:t>
      </w:r>
      <w:proofErr w:type="spellStart"/>
      <w:r w:rsidRPr="00B13430">
        <w:rPr>
          <w:rFonts w:asciiTheme="majorBidi" w:hAnsiTheme="majorBidi" w:cstheme="majorBidi"/>
          <w:sz w:val="24"/>
          <w:szCs w:val="24"/>
        </w:rPr>
        <w:t>Ph.D</w:t>
      </w:r>
      <w:proofErr w:type="spellEnd"/>
    </w:p>
    <w:p w14:paraId="383FA266" w14:textId="77777777" w:rsidR="008B4A4B" w:rsidRPr="00B13430" w:rsidRDefault="008B4A4B" w:rsidP="008B4A4B">
      <w:pPr>
        <w:spacing w:line="240" w:lineRule="auto"/>
        <w:rPr>
          <w:rFonts w:asciiTheme="majorBidi" w:hAnsiTheme="majorBidi" w:cstheme="majorBidi"/>
          <w:sz w:val="24"/>
          <w:szCs w:val="24"/>
        </w:rPr>
      </w:pPr>
      <w:r w:rsidRPr="00B13430">
        <w:rPr>
          <w:rFonts w:asciiTheme="majorBidi" w:hAnsiTheme="majorBidi" w:cstheme="majorBidi"/>
          <w:sz w:val="24"/>
          <w:szCs w:val="24"/>
        </w:rPr>
        <w:t>Biotechnology Research Center and Recombinant Vaccine Research Center, Faculty of Pharmacy, Tehran University of Medical Sciences, Tehran, Iran</w:t>
      </w:r>
    </w:p>
    <w:p w14:paraId="3F7ADBA3" w14:textId="77777777" w:rsidR="008B4A4B" w:rsidRDefault="008B4A4B" w:rsidP="008309E2">
      <w:pPr>
        <w:spacing w:after="0" w:line="240" w:lineRule="auto"/>
        <w:jc w:val="both"/>
        <w:rPr>
          <w:rStyle w:val="tgc"/>
          <w:rFonts w:asciiTheme="majorBidi" w:hAnsiTheme="majorBidi" w:cstheme="majorBidi"/>
          <w:b/>
          <w:bCs/>
          <w:color w:val="000000" w:themeColor="text1"/>
          <w:sz w:val="24"/>
          <w:szCs w:val="24"/>
        </w:rPr>
      </w:pPr>
    </w:p>
    <w:p w14:paraId="56D9D2DF" w14:textId="77777777" w:rsidR="000B7994" w:rsidRPr="000B7994" w:rsidRDefault="000B7994" w:rsidP="000B7994">
      <w:pPr>
        <w:pStyle w:val="HTMLPreformatted"/>
        <w:rPr>
          <w:rStyle w:val="tgc"/>
          <w:rFonts w:asciiTheme="majorBidi" w:eastAsiaTheme="minorEastAsia" w:hAnsiTheme="majorBidi" w:cstheme="majorBidi"/>
          <w:b/>
          <w:bCs/>
          <w:color w:val="000000" w:themeColor="text1"/>
          <w:sz w:val="24"/>
          <w:szCs w:val="24"/>
          <w:lang w:val="en-US"/>
        </w:rPr>
      </w:pPr>
      <w:r w:rsidRPr="000B7994">
        <w:rPr>
          <w:rStyle w:val="tgc"/>
          <w:rFonts w:asciiTheme="majorBidi" w:eastAsiaTheme="minorEastAsia" w:hAnsiTheme="majorBidi" w:cstheme="majorBidi"/>
          <w:b/>
          <w:bCs/>
          <w:color w:val="000000" w:themeColor="text1"/>
          <w:sz w:val="24"/>
          <w:szCs w:val="24"/>
          <w:lang w:val="en-US"/>
        </w:rPr>
        <w:t>Abstract</w:t>
      </w:r>
    </w:p>
    <w:p w14:paraId="7D7B9631" w14:textId="77777777" w:rsidR="000B7994" w:rsidRPr="000B7994" w:rsidRDefault="000B7994" w:rsidP="000B7994">
      <w:pPr>
        <w:pStyle w:val="HTMLPreformatted"/>
        <w:rPr>
          <w:rStyle w:val="tgc"/>
          <w:rFonts w:asciiTheme="majorBidi" w:eastAsiaTheme="minorEastAsia" w:hAnsiTheme="majorBidi" w:cstheme="majorBidi"/>
          <w:color w:val="000000" w:themeColor="text1"/>
          <w:sz w:val="24"/>
          <w:szCs w:val="24"/>
          <w:lang w:val="en-US"/>
        </w:rPr>
      </w:pPr>
      <w:r w:rsidRPr="000B7994">
        <w:rPr>
          <w:rStyle w:val="tgc"/>
          <w:rFonts w:asciiTheme="majorBidi" w:eastAsiaTheme="minorEastAsia" w:hAnsiTheme="majorBidi" w:cstheme="majorBidi"/>
          <w:color w:val="000000" w:themeColor="text1"/>
          <w:sz w:val="24"/>
          <w:szCs w:val="24"/>
          <w:lang w:val="en-US"/>
        </w:rPr>
        <w:t xml:space="preserve">Introduction: Intravesical Mycobacterium </w:t>
      </w:r>
      <w:proofErr w:type="spellStart"/>
      <w:r w:rsidRPr="000B7994">
        <w:rPr>
          <w:rStyle w:val="tgc"/>
          <w:rFonts w:asciiTheme="majorBidi" w:eastAsiaTheme="minorEastAsia" w:hAnsiTheme="majorBidi" w:cstheme="majorBidi"/>
          <w:color w:val="000000" w:themeColor="text1"/>
          <w:sz w:val="24"/>
          <w:szCs w:val="24"/>
          <w:lang w:val="en-US"/>
        </w:rPr>
        <w:t>Bovis</w:t>
      </w:r>
      <w:proofErr w:type="spellEnd"/>
      <w:r w:rsidRPr="000B7994">
        <w:rPr>
          <w:rStyle w:val="tgc"/>
          <w:rFonts w:asciiTheme="majorBidi" w:eastAsiaTheme="minorEastAsia" w:hAnsiTheme="majorBidi" w:cstheme="majorBidi"/>
          <w:color w:val="000000" w:themeColor="text1"/>
          <w:sz w:val="24"/>
          <w:szCs w:val="24"/>
          <w:lang w:val="en-US"/>
        </w:rPr>
        <w:t xml:space="preserve"> bacillus Calmette-</w:t>
      </w:r>
      <w:proofErr w:type="spellStart"/>
      <w:r w:rsidRPr="000B7994">
        <w:rPr>
          <w:rStyle w:val="tgc"/>
          <w:rFonts w:asciiTheme="majorBidi" w:eastAsiaTheme="minorEastAsia" w:hAnsiTheme="majorBidi" w:cstheme="majorBidi"/>
          <w:color w:val="000000" w:themeColor="text1"/>
          <w:sz w:val="24"/>
          <w:szCs w:val="24"/>
          <w:lang w:val="en-US"/>
        </w:rPr>
        <w:t>Guérin</w:t>
      </w:r>
      <w:proofErr w:type="spellEnd"/>
      <w:r w:rsidRPr="000B7994">
        <w:rPr>
          <w:rStyle w:val="tgc"/>
          <w:rFonts w:asciiTheme="majorBidi" w:eastAsiaTheme="minorEastAsia" w:hAnsiTheme="majorBidi" w:cstheme="majorBidi"/>
          <w:color w:val="000000" w:themeColor="text1"/>
          <w:sz w:val="24"/>
          <w:szCs w:val="24"/>
          <w:lang w:val="en-US"/>
        </w:rPr>
        <w:t xml:space="preserve"> (BCG) therapy for non-muscle invasive bladder cancer has been already applied successfully to prevent metastasis and disease progression. However, some studies have reported a percentage of treatment failure and recurrence along with possible side effects. Therefore, this study has evaluated the effect of administration of synthetic (</w:t>
      </w:r>
      <w:proofErr w:type="spellStart"/>
      <w:r w:rsidRPr="000B7994">
        <w:rPr>
          <w:rStyle w:val="tgc"/>
          <w:rFonts w:asciiTheme="majorBidi" w:eastAsiaTheme="minorEastAsia" w:hAnsiTheme="majorBidi" w:cstheme="majorBidi"/>
          <w:color w:val="000000" w:themeColor="text1"/>
          <w:sz w:val="24"/>
          <w:szCs w:val="24"/>
          <w:lang w:val="en-US"/>
        </w:rPr>
        <w:t>SSeNPs</w:t>
      </w:r>
      <w:proofErr w:type="spellEnd"/>
      <w:r w:rsidRPr="000B7994">
        <w:rPr>
          <w:rStyle w:val="tgc"/>
          <w:rFonts w:asciiTheme="majorBidi" w:eastAsiaTheme="minorEastAsia" w:hAnsiTheme="majorBidi" w:cstheme="majorBidi"/>
          <w:color w:val="000000" w:themeColor="text1"/>
          <w:sz w:val="24"/>
          <w:szCs w:val="24"/>
          <w:lang w:val="en-US"/>
        </w:rPr>
        <w:t>) and biogenic selenium nanoparticles (</w:t>
      </w:r>
      <w:proofErr w:type="spellStart"/>
      <w:r w:rsidRPr="000B7994">
        <w:rPr>
          <w:rStyle w:val="tgc"/>
          <w:rFonts w:asciiTheme="majorBidi" w:eastAsiaTheme="minorEastAsia" w:hAnsiTheme="majorBidi" w:cstheme="majorBidi"/>
          <w:color w:val="000000" w:themeColor="text1"/>
          <w:sz w:val="24"/>
          <w:szCs w:val="24"/>
          <w:lang w:val="en-US"/>
        </w:rPr>
        <w:t>BSeNPs</w:t>
      </w:r>
      <w:proofErr w:type="spellEnd"/>
      <w:r w:rsidRPr="000B7994">
        <w:rPr>
          <w:rStyle w:val="tgc"/>
          <w:rFonts w:asciiTheme="majorBidi" w:eastAsiaTheme="minorEastAsia" w:hAnsiTheme="majorBidi" w:cstheme="majorBidi"/>
          <w:color w:val="000000" w:themeColor="text1"/>
          <w:sz w:val="24"/>
          <w:szCs w:val="24"/>
          <w:lang w:val="en-US"/>
        </w:rPr>
        <w:t xml:space="preserve">) as an </w:t>
      </w:r>
      <w:proofErr w:type="gramStart"/>
      <w:r w:rsidRPr="000B7994">
        <w:rPr>
          <w:rStyle w:val="tgc"/>
          <w:rFonts w:asciiTheme="majorBidi" w:eastAsiaTheme="minorEastAsia" w:hAnsiTheme="majorBidi" w:cstheme="majorBidi"/>
          <w:color w:val="000000" w:themeColor="text1"/>
          <w:sz w:val="24"/>
          <w:szCs w:val="24"/>
          <w:lang w:val="en-US"/>
        </w:rPr>
        <w:t>adjuvant drugs</w:t>
      </w:r>
      <w:proofErr w:type="gramEnd"/>
      <w:r w:rsidRPr="000B7994">
        <w:rPr>
          <w:rStyle w:val="tgc"/>
          <w:rFonts w:asciiTheme="majorBidi" w:eastAsiaTheme="minorEastAsia" w:hAnsiTheme="majorBidi" w:cstheme="majorBidi"/>
          <w:color w:val="000000" w:themeColor="text1"/>
          <w:sz w:val="24"/>
          <w:szCs w:val="24"/>
          <w:lang w:val="en-US"/>
        </w:rPr>
        <w:t xml:space="preserve"> in combination with intravesical BCG for treatment of mice bearing bladder tumor. </w:t>
      </w:r>
    </w:p>
    <w:p w14:paraId="093DC632" w14:textId="77777777" w:rsidR="000B7994" w:rsidRPr="000B7994" w:rsidRDefault="000B7994" w:rsidP="000B7994">
      <w:pPr>
        <w:pStyle w:val="HTMLPreformatted"/>
        <w:rPr>
          <w:rStyle w:val="tgc"/>
          <w:rFonts w:asciiTheme="majorBidi" w:eastAsiaTheme="minorEastAsia" w:hAnsiTheme="majorBidi" w:cstheme="majorBidi"/>
          <w:color w:val="000000" w:themeColor="text1"/>
          <w:sz w:val="24"/>
          <w:szCs w:val="24"/>
          <w:lang w:val="en-US"/>
        </w:rPr>
      </w:pPr>
    </w:p>
    <w:p w14:paraId="21E93153" w14:textId="77777777" w:rsidR="000B7994" w:rsidRPr="000B7994" w:rsidRDefault="000B7994" w:rsidP="000B7994">
      <w:pPr>
        <w:pStyle w:val="HTMLPreformatted"/>
        <w:rPr>
          <w:rStyle w:val="tgc"/>
          <w:rFonts w:asciiTheme="majorBidi" w:eastAsiaTheme="minorEastAsia" w:hAnsiTheme="majorBidi" w:cstheme="majorBidi"/>
          <w:color w:val="000000" w:themeColor="text1"/>
          <w:sz w:val="24"/>
          <w:szCs w:val="24"/>
          <w:lang w:val="en-US"/>
        </w:rPr>
      </w:pPr>
      <w:r w:rsidRPr="000B7994">
        <w:rPr>
          <w:rStyle w:val="tgc"/>
          <w:rFonts w:asciiTheme="majorBidi" w:eastAsiaTheme="minorEastAsia" w:hAnsiTheme="majorBidi" w:cstheme="majorBidi"/>
          <w:color w:val="000000" w:themeColor="text1"/>
          <w:sz w:val="24"/>
          <w:szCs w:val="24"/>
          <w:lang w:val="en-US"/>
        </w:rPr>
        <w:t xml:space="preserve">Methods: Orthotopic bladder cancer model mice were established by 12 weeks N-butyl-N-(4-hydroxybutyl) nitrosamine oral gavage. Mice bearing bladder cancer were treated by sequential intravesical treatments with </w:t>
      </w:r>
      <w:proofErr w:type="spellStart"/>
      <w:r w:rsidRPr="000B7994">
        <w:rPr>
          <w:rStyle w:val="tgc"/>
          <w:rFonts w:asciiTheme="majorBidi" w:eastAsiaTheme="minorEastAsia" w:hAnsiTheme="majorBidi" w:cstheme="majorBidi"/>
          <w:color w:val="000000" w:themeColor="text1"/>
          <w:sz w:val="24"/>
          <w:szCs w:val="24"/>
          <w:lang w:val="en-US"/>
        </w:rPr>
        <w:t>SSeNPs</w:t>
      </w:r>
      <w:proofErr w:type="spellEnd"/>
      <w:r w:rsidRPr="000B7994">
        <w:rPr>
          <w:rStyle w:val="tgc"/>
          <w:rFonts w:asciiTheme="majorBidi" w:eastAsiaTheme="minorEastAsia" w:hAnsiTheme="majorBidi" w:cstheme="majorBidi"/>
          <w:color w:val="000000" w:themeColor="text1"/>
          <w:sz w:val="24"/>
          <w:szCs w:val="24"/>
          <w:lang w:val="en-US"/>
        </w:rPr>
        <w:t>, BCG, BCG/</w:t>
      </w:r>
      <w:proofErr w:type="spellStart"/>
      <w:r w:rsidRPr="000B7994">
        <w:rPr>
          <w:rStyle w:val="tgc"/>
          <w:rFonts w:asciiTheme="majorBidi" w:eastAsiaTheme="minorEastAsia" w:hAnsiTheme="majorBidi" w:cstheme="majorBidi"/>
          <w:color w:val="000000" w:themeColor="text1"/>
          <w:sz w:val="24"/>
          <w:szCs w:val="24"/>
          <w:lang w:val="en-US"/>
        </w:rPr>
        <w:t>SSeNPs</w:t>
      </w:r>
      <w:proofErr w:type="spellEnd"/>
      <w:r w:rsidRPr="000B7994">
        <w:rPr>
          <w:rStyle w:val="tgc"/>
          <w:rFonts w:asciiTheme="majorBidi" w:eastAsiaTheme="minorEastAsia" w:hAnsiTheme="majorBidi" w:cstheme="majorBidi"/>
          <w:color w:val="000000" w:themeColor="text1"/>
          <w:sz w:val="24"/>
          <w:szCs w:val="24"/>
          <w:lang w:val="en-US"/>
        </w:rPr>
        <w:t>, and BCG/</w:t>
      </w:r>
      <w:proofErr w:type="spellStart"/>
      <w:r w:rsidRPr="000B7994">
        <w:rPr>
          <w:rStyle w:val="tgc"/>
          <w:rFonts w:asciiTheme="majorBidi" w:eastAsiaTheme="minorEastAsia" w:hAnsiTheme="majorBidi" w:cstheme="majorBidi"/>
          <w:color w:val="000000" w:themeColor="text1"/>
          <w:sz w:val="24"/>
          <w:szCs w:val="24"/>
          <w:lang w:val="en-US"/>
        </w:rPr>
        <w:t>SSeNPs</w:t>
      </w:r>
      <w:proofErr w:type="spellEnd"/>
      <w:r w:rsidRPr="000B7994">
        <w:rPr>
          <w:rStyle w:val="tgc"/>
          <w:rFonts w:asciiTheme="majorBidi" w:eastAsiaTheme="minorEastAsia" w:hAnsiTheme="majorBidi" w:cstheme="majorBidi"/>
          <w:color w:val="000000" w:themeColor="text1"/>
          <w:sz w:val="24"/>
          <w:szCs w:val="24"/>
          <w:lang w:val="en-US"/>
        </w:rPr>
        <w:t xml:space="preserve">. After immunotherapy, the status of the immune system was evaluated through quantitatively measuring mRNA expression of cytokines by Real-time </w:t>
      </w:r>
      <w:proofErr w:type="spellStart"/>
      <w:r w:rsidRPr="000B7994">
        <w:rPr>
          <w:rStyle w:val="tgc"/>
          <w:rFonts w:asciiTheme="majorBidi" w:eastAsiaTheme="minorEastAsia" w:hAnsiTheme="majorBidi" w:cstheme="majorBidi"/>
          <w:color w:val="000000" w:themeColor="text1"/>
          <w:sz w:val="24"/>
          <w:szCs w:val="24"/>
          <w:lang w:val="en-US"/>
        </w:rPr>
        <w:t>qRT</w:t>
      </w:r>
      <w:proofErr w:type="spellEnd"/>
      <w:r w:rsidRPr="000B7994">
        <w:rPr>
          <w:rStyle w:val="tgc"/>
          <w:rFonts w:asciiTheme="majorBidi" w:eastAsiaTheme="minorEastAsia" w:hAnsiTheme="majorBidi" w:cstheme="majorBidi"/>
          <w:color w:val="000000" w:themeColor="text1"/>
          <w:sz w:val="24"/>
          <w:szCs w:val="24"/>
          <w:lang w:val="en-US"/>
        </w:rPr>
        <w:t xml:space="preserve">-PCR in the spleen samples and measuring cytokines protein level by enzyme-linked immunosorbent assay in the serum samples. As well, in the tumor microenvironment, the mRNA expression level of autophagic molecules (Beclin-1, ATG2B, and ATG5), apoptotic molecule (Caspase-3), </w:t>
      </w:r>
      <w:proofErr w:type="spellStart"/>
      <w:r w:rsidRPr="000B7994">
        <w:rPr>
          <w:rStyle w:val="tgc"/>
          <w:rFonts w:asciiTheme="majorBidi" w:eastAsiaTheme="minorEastAsia" w:hAnsiTheme="majorBidi" w:cstheme="majorBidi"/>
          <w:color w:val="000000" w:themeColor="text1"/>
          <w:sz w:val="24"/>
          <w:szCs w:val="24"/>
          <w:lang w:val="en-US"/>
        </w:rPr>
        <w:t>iNOS</w:t>
      </w:r>
      <w:proofErr w:type="spellEnd"/>
      <w:r w:rsidRPr="000B7994">
        <w:rPr>
          <w:rStyle w:val="tgc"/>
          <w:rFonts w:asciiTheme="majorBidi" w:eastAsiaTheme="minorEastAsia" w:hAnsiTheme="majorBidi" w:cstheme="majorBidi"/>
          <w:color w:val="000000" w:themeColor="text1"/>
          <w:sz w:val="24"/>
          <w:szCs w:val="24"/>
          <w:lang w:val="en-US"/>
        </w:rPr>
        <w:t>, HMGB1, and PD-L1 were evaluated in all groups.</w:t>
      </w:r>
    </w:p>
    <w:p w14:paraId="0A1609BC" w14:textId="77777777" w:rsidR="000B7994" w:rsidRPr="000B7994" w:rsidRDefault="000B7994" w:rsidP="000B7994">
      <w:pPr>
        <w:pStyle w:val="HTMLPreformatted"/>
        <w:rPr>
          <w:rStyle w:val="tgc"/>
          <w:rFonts w:asciiTheme="majorBidi" w:eastAsiaTheme="minorEastAsia" w:hAnsiTheme="majorBidi" w:cstheme="majorBidi"/>
          <w:color w:val="000000" w:themeColor="text1"/>
          <w:sz w:val="24"/>
          <w:szCs w:val="24"/>
          <w:lang w:val="en-US"/>
        </w:rPr>
      </w:pPr>
    </w:p>
    <w:p w14:paraId="0A8016D7" w14:textId="77777777" w:rsidR="000B7994" w:rsidRPr="000B7994" w:rsidRDefault="000B7994" w:rsidP="000B7994">
      <w:pPr>
        <w:pStyle w:val="HTMLPreformatted"/>
        <w:rPr>
          <w:rStyle w:val="tgc"/>
          <w:rFonts w:asciiTheme="majorBidi" w:eastAsiaTheme="minorEastAsia" w:hAnsiTheme="majorBidi" w:cstheme="majorBidi"/>
          <w:color w:val="000000" w:themeColor="text1"/>
          <w:sz w:val="24"/>
          <w:szCs w:val="24"/>
          <w:lang w:val="en-US"/>
        </w:rPr>
      </w:pPr>
      <w:r w:rsidRPr="000B7994">
        <w:rPr>
          <w:rStyle w:val="tgc"/>
          <w:rFonts w:asciiTheme="majorBidi" w:eastAsiaTheme="minorEastAsia" w:hAnsiTheme="majorBidi" w:cstheme="majorBidi"/>
          <w:color w:val="000000" w:themeColor="text1"/>
          <w:sz w:val="24"/>
          <w:szCs w:val="24"/>
          <w:lang w:val="en-US"/>
        </w:rPr>
        <w:t>Results: Immunotherapy with BCG/</w:t>
      </w:r>
      <w:proofErr w:type="spellStart"/>
      <w:r w:rsidRPr="000B7994">
        <w:rPr>
          <w:rStyle w:val="tgc"/>
          <w:rFonts w:asciiTheme="majorBidi" w:eastAsiaTheme="minorEastAsia" w:hAnsiTheme="majorBidi" w:cstheme="majorBidi"/>
          <w:color w:val="000000" w:themeColor="text1"/>
          <w:sz w:val="24"/>
          <w:szCs w:val="24"/>
          <w:lang w:val="en-US"/>
        </w:rPr>
        <w:t>SSeNPs</w:t>
      </w:r>
      <w:proofErr w:type="spellEnd"/>
      <w:r w:rsidRPr="000B7994">
        <w:rPr>
          <w:rStyle w:val="tgc"/>
          <w:rFonts w:asciiTheme="majorBidi" w:eastAsiaTheme="minorEastAsia" w:hAnsiTheme="majorBidi" w:cstheme="majorBidi"/>
          <w:color w:val="000000" w:themeColor="text1"/>
          <w:sz w:val="24"/>
          <w:szCs w:val="24"/>
          <w:lang w:val="en-US"/>
        </w:rPr>
        <w:t xml:space="preserve"> and BCG/</w:t>
      </w:r>
      <w:proofErr w:type="spellStart"/>
      <w:r w:rsidRPr="000B7994">
        <w:rPr>
          <w:rStyle w:val="tgc"/>
          <w:rFonts w:asciiTheme="majorBidi" w:eastAsiaTheme="minorEastAsia" w:hAnsiTheme="majorBidi" w:cstheme="majorBidi"/>
          <w:color w:val="000000" w:themeColor="text1"/>
          <w:sz w:val="24"/>
          <w:szCs w:val="24"/>
          <w:lang w:val="en-US"/>
        </w:rPr>
        <w:t>BSeNPs</w:t>
      </w:r>
      <w:proofErr w:type="spellEnd"/>
      <w:r w:rsidRPr="000B7994">
        <w:rPr>
          <w:rStyle w:val="tgc"/>
          <w:rFonts w:asciiTheme="majorBidi" w:eastAsiaTheme="minorEastAsia" w:hAnsiTheme="majorBidi" w:cstheme="majorBidi"/>
          <w:color w:val="000000" w:themeColor="text1"/>
          <w:sz w:val="24"/>
          <w:szCs w:val="24"/>
          <w:lang w:val="en-US"/>
        </w:rPr>
        <w:t xml:space="preserve"> elicited a considerable immune response by increasing the expression of IFN-γ, IL-12, and IL-6, and inhibiting the expression of IL-10 and TGF-β cytokines. Along with, BCG/</w:t>
      </w:r>
      <w:proofErr w:type="spellStart"/>
      <w:r w:rsidRPr="000B7994">
        <w:rPr>
          <w:rStyle w:val="tgc"/>
          <w:rFonts w:asciiTheme="majorBidi" w:eastAsiaTheme="minorEastAsia" w:hAnsiTheme="majorBidi" w:cstheme="majorBidi"/>
          <w:color w:val="000000" w:themeColor="text1"/>
          <w:sz w:val="24"/>
          <w:szCs w:val="24"/>
          <w:lang w:val="en-US"/>
        </w:rPr>
        <w:t>SSeNPs</w:t>
      </w:r>
      <w:proofErr w:type="spellEnd"/>
      <w:r w:rsidRPr="000B7994">
        <w:rPr>
          <w:rStyle w:val="tgc"/>
          <w:rFonts w:asciiTheme="majorBidi" w:eastAsiaTheme="minorEastAsia" w:hAnsiTheme="majorBidi" w:cstheme="majorBidi"/>
          <w:color w:val="000000" w:themeColor="text1"/>
          <w:sz w:val="24"/>
          <w:szCs w:val="24"/>
          <w:lang w:val="en-US"/>
        </w:rPr>
        <w:t xml:space="preserve"> and BCG/</w:t>
      </w:r>
      <w:proofErr w:type="spellStart"/>
      <w:r w:rsidRPr="000B7994">
        <w:rPr>
          <w:rStyle w:val="tgc"/>
          <w:rFonts w:asciiTheme="majorBidi" w:eastAsiaTheme="minorEastAsia" w:hAnsiTheme="majorBidi" w:cstheme="majorBidi"/>
          <w:color w:val="000000" w:themeColor="text1"/>
          <w:sz w:val="24"/>
          <w:szCs w:val="24"/>
          <w:lang w:val="en-US"/>
        </w:rPr>
        <w:t>BSeNPs</w:t>
      </w:r>
      <w:proofErr w:type="spellEnd"/>
      <w:r w:rsidRPr="000B7994">
        <w:rPr>
          <w:rStyle w:val="tgc"/>
          <w:rFonts w:asciiTheme="majorBidi" w:eastAsiaTheme="minorEastAsia" w:hAnsiTheme="majorBidi" w:cstheme="majorBidi"/>
          <w:color w:val="000000" w:themeColor="text1"/>
          <w:sz w:val="24"/>
          <w:szCs w:val="24"/>
          <w:lang w:val="en-US"/>
        </w:rPr>
        <w:t xml:space="preserve"> could increase Caspase-3 expression and decrease autophagic genes as well as PD-L1.</w:t>
      </w:r>
    </w:p>
    <w:p w14:paraId="6EF8E9A7" w14:textId="77777777" w:rsidR="000B7994" w:rsidRPr="000B7994" w:rsidRDefault="000B7994" w:rsidP="000B7994">
      <w:pPr>
        <w:pStyle w:val="HTMLPreformatted"/>
        <w:rPr>
          <w:rStyle w:val="tgc"/>
          <w:rFonts w:asciiTheme="majorBidi" w:eastAsiaTheme="minorEastAsia" w:hAnsiTheme="majorBidi" w:cstheme="majorBidi"/>
          <w:color w:val="000000" w:themeColor="text1"/>
          <w:sz w:val="24"/>
          <w:szCs w:val="24"/>
          <w:lang w:val="en-US"/>
        </w:rPr>
      </w:pPr>
    </w:p>
    <w:p w14:paraId="5E28AAAB" w14:textId="77777777" w:rsidR="000B7994" w:rsidRPr="000B7994" w:rsidRDefault="000B7994" w:rsidP="000B7994">
      <w:pPr>
        <w:pStyle w:val="HTMLPreformatted"/>
        <w:rPr>
          <w:rStyle w:val="tgc"/>
          <w:rFonts w:asciiTheme="majorBidi" w:eastAsiaTheme="minorEastAsia" w:hAnsiTheme="majorBidi" w:cstheme="majorBidi"/>
          <w:color w:val="000000" w:themeColor="text1"/>
          <w:sz w:val="24"/>
          <w:szCs w:val="24"/>
          <w:lang w:val="en-US"/>
        </w:rPr>
      </w:pPr>
      <w:r w:rsidRPr="000B7994">
        <w:rPr>
          <w:rStyle w:val="tgc"/>
          <w:rFonts w:asciiTheme="majorBidi" w:eastAsiaTheme="minorEastAsia" w:hAnsiTheme="majorBidi" w:cstheme="majorBidi"/>
          <w:color w:val="000000" w:themeColor="text1"/>
          <w:sz w:val="24"/>
          <w:szCs w:val="24"/>
          <w:lang w:val="en-US"/>
        </w:rPr>
        <w:t xml:space="preserve">Conclusion: Our results showed that synthetic and biogenic </w:t>
      </w:r>
      <w:proofErr w:type="spellStart"/>
      <w:r w:rsidRPr="000B7994">
        <w:rPr>
          <w:rStyle w:val="tgc"/>
          <w:rFonts w:asciiTheme="majorBidi" w:eastAsiaTheme="minorEastAsia" w:hAnsiTheme="majorBidi" w:cstheme="majorBidi"/>
          <w:color w:val="000000" w:themeColor="text1"/>
          <w:sz w:val="24"/>
          <w:szCs w:val="24"/>
          <w:lang w:val="en-US"/>
        </w:rPr>
        <w:t>SeNPs</w:t>
      </w:r>
      <w:proofErr w:type="spellEnd"/>
      <w:r w:rsidRPr="000B7994">
        <w:rPr>
          <w:rStyle w:val="tgc"/>
          <w:rFonts w:asciiTheme="majorBidi" w:eastAsiaTheme="minorEastAsia" w:hAnsiTheme="majorBidi" w:cstheme="majorBidi"/>
          <w:color w:val="000000" w:themeColor="text1"/>
          <w:sz w:val="24"/>
          <w:szCs w:val="24"/>
          <w:lang w:val="en-US"/>
        </w:rPr>
        <w:t xml:space="preserve"> as an effective adjuvant could enhance the efficacy and therapeutic effect of intravesical BCG for bladder cancer treatment with almost the same function.</w:t>
      </w:r>
    </w:p>
    <w:p w14:paraId="498D359A" w14:textId="77777777" w:rsidR="000B7994" w:rsidRDefault="000B7994" w:rsidP="000B7994">
      <w:pPr>
        <w:pStyle w:val="HTMLPreformatted"/>
        <w:jc w:val="both"/>
        <w:rPr>
          <w:rStyle w:val="tgc"/>
          <w:rFonts w:asciiTheme="majorBidi" w:eastAsiaTheme="minorEastAsia" w:hAnsiTheme="majorBidi" w:cstheme="majorBidi"/>
          <w:b/>
          <w:bCs/>
          <w:color w:val="000000" w:themeColor="text1"/>
          <w:sz w:val="24"/>
          <w:szCs w:val="24"/>
          <w:lang w:val="en-US"/>
        </w:rPr>
      </w:pPr>
      <w:r w:rsidRPr="000B7994">
        <w:rPr>
          <w:rStyle w:val="tgc"/>
          <w:rFonts w:asciiTheme="majorBidi" w:eastAsiaTheme="minorEastAsia" w:hAnsiTheme="majorBidi" w:cstheme="majorBidi"/>
          <w:b/>
          <w:bCs/>
          <w:color w:val="000000" w:themeColor="text1"/>
          <w:sz w:val="24"/>
          <w:szCs w:val="24"/>
          <w:lang w:val="en-US"/>
        </w:rPr>
        <w:t>Keywords</w:t>
      </w:r>
      <w:r w:rsidRPr="000B7994">
        <w:rPr>
          <w:rStyle w:val="tgc"/>
          <w:rFonts w:asciiTheme="majorBidi" w:eastAsiaTheme="minorEastAsia" w:hAnsiTheme="majorBidi" w:cstheme="majorBidi"/>
          <w:color w:val="000000" w:themeColor="text1"/>
          <w:sz w:val="24"/>
          <w:szCs w:val="24"/>
          <w:lang w:val="en-US"/>
        </w:rPr>
        <w:t>: BCG, Selenium nanoparticles, bladder cancer, Immunotherapy</w:t>
      </w:r>
    </w:p>
    <w:p w14:paraId="580C5F30" w14:textId="77777777" w:rsidR="000B7994" w:rsidRDefault="000B7994" w:rsidP="000B7994">
      <w:pPr>
        <w:pStyle w:val="HTMLPreformatted"/>
        <w:jc w:val="both"/>
        <w:rPr>
          <w:rStyle w:val="tgc"/>
          <w:rFonts w:asciiTheme="majorBidi" w:eastAsiaTheme="minorEastAsia" w:hAnsiTheme="majorBidi" w:cstheme="majorBidi"/>
          <w:b/>
          <w:bCs/>
          <w:color w:val="000000" w:themeColor="text1"/>
          <w:sz w:val="24"/>
          <w:szCs w:val="24"/>
          <w:lang w:val="en-US"/>
        </w:rPr>
      </w:pPr>
    </w:p>
    <w:p w14:paraId="0C3C53ED" w14:textId="6DACAB59" w:rsidR="000B7994" w:rsidRDefault="000B7994" w:rsidP="000B7994">
      <w:pPr>
        <w:pStyle w:val="HTMLPreformatted"/>
        <w:jc w:val="both"/>
        <w:rPr>
          <w:rFonts w:ascii="Times New Roman" w:hAnsi="Times New Roman" w:cs="Times New Roman"/>
          <w:b/>
          <w:iCs/>
          <w:sz w:val="24"/>
        </w:rPr>
      </w:pPr>
      <w:r>
        <w:rPr>
          <w:rFonts w:ascii="Times New Roman" w:hAnsi="Times New Roman" w:cs="Times New Roman"/>
          <w:b/>
          <w:iCs/>
          <w:sz w:val="24"/>
        </w:rPr>
        <w:t xml:space="preserve">Biography </w:t>
      </w:r>
    </w:p>
    <w:p w14:paraId="016C6E63" w14:textId="2EAAC438" w:rsidR="000B7994" w:rsidRPr="003D6CAC" w:rsidRDefault="000B7994" w:rsidP="000B7994">
      <w:pPr>
        <w:autoSpaceDE w:val="0"/>
        <w:autoSpaceDN w:val="0"/>
        <w:adjustRightInd w:val="0"/>
        <w:jc w:val="both"/>
        <w:rPr>
          <w:rFonts w:ascii="Times New Roman" w:hAnsi="Times New Roman"/>
          <w:sz w:val="24"/>
          <w:szCs w:val="24"/>
        </w:rPr>
      </w:pPr>
      <w:r w:rsidRPr="003D6CAC">
        <w:rPr>
          <w:rFonts w:ascii="Times New Roman" w:hAnsi="Times New Roman"/>
          <w:sz w:val="24"/>
          <w:szCs w:val="24"/>
        </w:rPr>
        <w:t xml:space="preserve">Mohammad Hossein </w:t>
      </w:r>
      <w:proofErr w:type="spellStart"/>
      <w:r w:rsidRPr="003D6CAC">
        <w:rPr>
          <w:rFonts w:ascii="Times New Roman" w:hAnsi="Times New Roman"/>
          <w:sz w:val="24"/>
          <w:szCs w:val="24"/>
        </w:rPr>
        <w:t>Yazdi</w:t>
      </w:r>
      <w:proofErr w:type="spellEnd"/>
      <w:r w:rsidRPr="003D6CAC">
        <w:rPr>
          <w:rFonts w:ascii="Times New Roman" w:hAnsi="Times New Roman"/>
          <w:sz w:val="24"/>
          <w:szCs w:val="24"/>
        </w:rPr>
        <w:t xml:space="preserve"> got his PhD in the field of Pharmaceutical Biotechnology by 2014 from Tehran University of Medical Sciences, School of Pharmacy. His PhD work was about cancer vaccine and immunotherapy. He is now working as Ass</w:t>
      </w:r>
      <w:r>
        <w:rPr>
          <w:rFonts w:ascii="Times New Roman" w:hAnsi="Times New Roman"/>
          <w:sz w:val="24"/>
          <w:szCs w:val="24"/>
        </w:rPr>
        <w:t xml:space="preserve">ociate </w:t>
      </w:r>
      <w:r w:rsidRPr="003D6CAC">
        <w:rPr>
          <w:rFonts w:ascii="Times New Roman" w:hAnsi="Times New Roman"/>
          <w:sz w:val="24"/>
          <w:szCs w:val="24"/>
        </w:rPr>
        <w:t xml:space="preserve">Professor at Biotechnology Research Center and </w:t>
      </w:r>
      <w:r>
        <w:rPr>
          <w:rFonts w:ascii="Times New Roman" w:hAnsi="Times New Roman"/>
          <w:sz w:val="24"/>
          <w:szCs w:val="24"/>
        </w:rPr>
        <w:t xml:space="preserve">Head of </w:t>
      </w:r>
      <w:r w:rsidRPr="003D6CAC">
        <w:rPr>
          <w:rFonts w:ascii="Times New Roman" w:hAnsi="Times New Roman"/>
          <w:sz w:val="24"/>
          <w:szCs w:val="24"/>
        </w:rPr>
        <w:t xml:space="preserve">Recombinant Vaccine Research Center of Tehran University of Medical Sciences and pursues his interest in both vaccine and immunotherapy of cancer and infectious diseases. He has published more than </w:t>
      </w:r>
      <w:r>
        <w:rPr>
          <w:rFonts w:ascii="Times New Roman" w:hAnsi="Times New Roman"/>
          <w:sz w:val="24"/>
          <w:szCs w:val="24"/>
        </w:rPr>
        <w:t>4</w:t>
      </w:r>
      <w:r w:rsidRPr="003D6CAC">
        <w:rPr>
          <w:rFonts w:ascii="Times New Roman" w:hAnsi="Times New Roman"/>
          <w:sz w:val="24"/>
          <w:szCs w:val="24"/>
        </w:rPr>
        <w:t xml:space="preserve">5 papers in reputed journals and has been serving as senior lecturer of advanced immunology and immunotherapy at Tehran University of Medical Sciences. </w:t>
      </w:r>
    </w:p>
    <w:p w14:paraId="37D383CA" w14:textId="77777777" w:rsidR="000B7994" w:rsidRPr="00F06055" w:rsidRDefault="000B7994" w:rsidP="000B7994">
      <w:pPr>
        <w:pStyle w:val="HTMLPreformatted"/>
        <w:jc w:val="both"/>
        <w:rPr>
          <w:rFonts w:ascii="Times New Roman" w:hAnsi="Times New Roman" w:cs="Times New Roman"/>
          <w:b/>
          <w:iCs/>
          <w:sz w:val="24"/>
        </w:rPr>
      </w:pPr>
      <w:r w:rsidRPr="006D679F">
        <w:rPr>
          <w:rFonts w:ascii="Times" w:hAnsi="Times"/>
          <w:b/>
          <w:bCs/>
          <w:noProof/>
          <w:lang w:val="en-US"/>
        </w:rPr>
        <w:lastRenderedPageBreak/>
        <w:drawing>
          <wp:inline distT="0" distB="0" distL="0" distR="0" wp14:anchorId="118F8AC6" wp14:editId="4ACB8AC5">
            <wp:extent cx="1463040" cy="1804670"/>
            <wp:effectExtent l="0" t="0" r="0" b="0"/>
            <wp:docPr id="1" name="Picture 11" descr="A person with a beard&#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1" descr="A person with a beard&#10;&#10;Description automatically generated with medium confidence"/>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3040" cy="1804670"/>
                    </a:xfrm>
                    <a:prstGeom prst="rect">
                      <a:avLst/>
                    </a:prstGeom>
                    <a:noFill/>
                    <a:ln>
                      <a:noFill/>
                    </a:ln>
                  </pic:spPr>
                </pic:pic>
              </a:graphicData>
            </a:graphic>
          </wp:inline>
        </w:drawing>
      </w:r>
      <w:r>
        <w:rPr>
          <w:rFonts w:ascii="Times New Roman" w:hAnsi="Times New Roman" w:cs="Times New Roman"/>
          <w:b/>
          <w:iCs/>
          <w:sz w:val="24"/>
        </w:rPr>
        <w:br/>
      </w:r>
    </w:p>
    <w:p w14:paraId="48739C39" w14:textId="77777777" w:rsidR="000B7994" w:rsidRPr="008C49FB" w:rsidRDefault="000B7994" w:rsidP="000B7994">
      <w:pPr>
        <w:contextualSpacing/>
        <w:rPr>
          <w:rFonts w:ascii="Times New Roman" w:hAnsi="Times New Roman"/>
          <w:sz w:val="24"/>
          <w:szCs w:val="24"/>
        </w:rPr>
      </w:pPr>
      <w:r w:rsidRPr="008C49FB">
        <w:rPr>
          <w:rFonts w:ascii="Times New Roman" w:hAnsi="Times New Roman"/>
          <w:sz w:val="24"/>
          <w:szCs w:val="24"/>
        </w:rPr>
        <w:t>Full Name</w:t>
      </w:r>
      <w:r>
        <w:rPr>
          <w:rFonts w:ascii="Times New Roman" w:hAnsi="Times New Roman"/>
          <w:sz w:val="24"/>
          <w:szCs w:val="24"/>
        </w:rPr>
        <w:t xml:space="preserve">: </w:t>
      </w:r>
      <w:r w:rsidRPr="00191EED">
        <w:rPr>
          <w:rFonts w:ascii="Times New Roman" w:hAnsi="Times New Roman"/>
          <w:sz w:val="24"/>
          <w:szCs w:val="24"/>
          <w:lang w:val="en-NZ"/>
        </w:rPr>
        <w:t xml:space="preserve">Mohammad Hossein </w:t>
      </w:r>
      <w:proofErr w:type="spellStart"/>
      <w:r w:rsidRPr="00191EED">
        <w:rPr>
          <w:rFonts w:ascii="Times New Roman" w:hAnsi="Times New Roman"/>
          <w:sz w:val="24"/>
          <w:szCs w:val="24"/>
          <w:lang w:val="en-NZ"/>
        </w:rPr>
        <w:t>Yazdi</w:t>
      </w:r>
      <w:proofErr w:type="spellEnd"/>
    </w:p>
    <w:p w14:paraId="163D12B9" w14:textId="77777777" w:rsidR="000B7994" w:rsidRPr="008C49FB" w:rsidRDefault="000B7994" w:rsidP="000B7994">
      <w:pPr>
        <w:contextualSpacing/>
        <w:rPr>
          <w:rFonts w:ascii="Times New Roman" w:hAnsi="Times New Roman"/>
          <w:sz w:val="24"/>
          <w:szCs w:val="24"/>
        </w:rPr>
      </w:pPr>
      <w:r w:rsidRPr="008C49FB">
        <w:rPr>
          <w:rFonts w:ascii="Times New Roman" w:hAnsi="Times New Roman"/>
          <w:sz w:val="24"/>
          <w:szCs w:val="24"/>
        </w:rPr>
        <w:t>Email Id</w:t>
      </w:r>
      <w:r>
        <w:rPr>
          <w:rFonts w:ascii="Times New Roman" w:hAnsi="Times New Roman"/>
          <w:sz w:val="24"/>
          <w:szCs w:val="24"/>
        </w:rPr>
        <w:t xml:space="preserve">: </w:t>
      </w:r>
      <w:hyperlink r:id="rId5" w:history="1">
        <w:r w:rsidRPr="00191EED">
          <w:rPr>
            <w:rStyle w:val="Hyperlink"/>
            <w:rFonts w:ascii="Times New Roman" w:hAnsi="Times New Roman"/>
            <w:sz w:val="24"/>
            <w:szCs w:val="24"/>
          </w:rPr>
          <w:t>mh-yazdi@tums.ac.ir</w:t>
        </w:r>
      </w:hyperlink>
      <w:r w:rsidRPr="00191EED">
        <w:rPr>
          <w:rStyle w:val="Hyperlink"/>
          <w:rFonts w:ascii="Times New Roman" w:hAnsi="Times New Roman"/>
          <w:sz w:val="24"/>
          <w:szCs w:val="24"/>
        </w:rPr>
        <w:t xml:space="preserve"> </w:t>
      </w:r>
    </w:p>
    <w:p w14:paraId="4003F8C8" w14:textId="77777777" w:rsidR="000B7994" w:rsidRPr="008C49FB" w:rsidRDefault="000B7994" w:rsidP="000B7994">
      <w:pPr>
        <w:contextualSpacing/>
        <w:rPr>
          <w:rFonts w:ascii="Times New Roman" w:hAnsi="Times New Roman"/>
          <w:sz w:val="24"/>
          <w:szCs w:val="24"/>
        </w:rPr>
      </w:pPr>
      <w:r w:rsidRPr="008C49FB">
        <w:rPr>
          <w:rFonts w:ascii="Times New Roman" w:hAnsi="Times New Roman"/>
          <w:sz w:val="24"/>
          <w:szCs w:val="24"/>
        </w:rPr>
        <w:t>Contact No:</w:t>
      </w:r>
      <w:r w:rsidRPr="00191EED">
        <w:rPr>
          <w:rFonts w:ascii="Times New Roman" w:hAnsi="Times New Roman"/>
          <w:sz w:val="24"/>
          <w:szCs w:val="24"/>
          <w:lang w:val="en-NZ"/>
        </w:rPr>
        <w:t xml:space="preserve"> +989123793307</w:t>
      </w:r>
    </w:p>
    <w:p w14:paraId="47D15F41" w14:textId="56C5C04B" w:rsidR="000B7994" w:rsidRPr="000B7994" w:rsidRDefault="000B7994" w:rsidP="000B7994">
      <w:pPr>
        <w:contextualSpacing/>
        <w:rPr>
          <w:rFonts w:ascii="Times New Roman" w:hAnsi="Times New Roman"/>
          <w:sz w:val="24"/>
          <w:szCs w:val="24"/>
        </w:rPr>
      </w:pPr>
      <w:r w:rsidRPr="000B7994">
        <w:rPr>
          <w:rFonts w:ascii="Times New Roman" w:hAnsi="Times New Roman"/>
          <w:sz w:val="24"/>
          <w:szCs w:val="24"/>
        </w:rPr>
        <w:t xml:space="preserve">Twitter </w:t>
      </w:r>
      <w:proofErr w:type="gramStart"/>
      <w:r w:rsidRPr="000B7994">
        <w:rPr>
          <w:rFonts w:ascii="Times New Roman" w:hAnsi="Times New Roman"/>
          <w:sz w:val="24"/>
          <w:szCs w:val="24"/>
        </w:rPr>
        <w:t>account:</w:t>
      </w:r>
      <w:r>
        <w:rPr>
          <w:rFonts w:ascii="Times New Roman" w:hAnsi="Times New Roman"/>
          <w:sz w:val="24"/>
          <w:szCs w:val="24"/>
        </w:rPr>
        <w:t>@</w:t>
      </w:r>
      <w:proofErr w:type="spellStart"/>
      <w:proofErr w:type="gramEnd"/>
      <w:r>
        <w:rPr>
          <w:rFonts w:ascii="Times New Roman" w:hAnsi="Times New Roman"/>
          <w:sz w:val="24"/>
          <w:szCs w:val="24"/>
        </w:rPr>
        <w:t>dr_yazdi</w:t>
      </w:r>
      <w:proofErr w:type="spellEnd"/>
    </w:p>
    <w:p w14:paraId="46402744" w14:textId="65AEB1E4" w:rsidR="000B7994" w:rsidRPr="000B7994" w:rsidRDefault="000B7994" w:rsidP="000B7994">
      <w:pPr>
        <w:contextualSpacing/>
        <w:rPr>
          <w:rFonts w:ascii="Times New Roman" w:hAnsi="Times New Roman"/>
          <w:sz w:val="24"/>
          <w:szCs w:val="24"/>
        </w:rPr>
      </w:pPr>
      <w:r w:rsidRPr="000B7994">
        <w:rPr>
          <w:rFonts w:ascii="Times New Roman" w:hAnsi="Times New Roman"/>
          <w:sz w:val="24"/>
          <w:szCs w:val="24"/>
        </w:rPr>
        <w:t>Linked In account:</w:t>
      </w:r>
      <w:r>
        <w:rPr>
          <w:rFonts w:ascii="Times New Roman" w:hAnsi="Times New Roman"/>
          <w:sz w:val="24"/>
          <w:szCs w:val="24"/>
        </w:rPr>
        <w:t xml:space="preserve"> Mohammad Hossein </w:t>
      </w:r>
      <w:proofErr w:type="spellStart"/>
      <w:r>
        <w:rPr>
          <w:rFonts w:ascii="Times New Roman" w:hAnsi="Times New Roman"/>
          <w:sz w:val="24"/>
          <w:szCs w:val="24"/>
        </w:rPr>
        <w:t>Yazdi</w:t>
      </w:r>
      <w:proofErr w:type="spellEnd"/>
      <w:r>
        <w:rPr>
          <w:rFonts w:ascii="Times New Roman" w:hAnsi="Times New Roman"/>
          <w:sz w:val="24"/>
          <w:szCs w:val="24"/>
        </w:rPr>
        <w:t xml:space="preserve"> </w:t>
      </w:r>
    </w:p>
    <w:p w14:paraId="262F2FB3" w14:textId="1958F75B" w:rsidR="000B7994" w:rsidRPr="000B7994" w:rsidRDefault="000B7994" w:rsidP="000B7994">
      <w:pPr>
        <w:contextualSpacing/>
        <w:rPr>
          <w:rFonts w:ascii="Times New Roman" w:hAnsi="Times New Roman"/>
          <w:sz w:val="24"/>
          <w:szCs w:val="24"/>
        </w:rPr>
      </w:pPr>
      <w:r w:rsidRPr="000B7994">
        <w:rPr>
          <w:rFonts w:ascii="Times New Roman" w:hAnsi="Times New Roman"/>
          <w:sz w:val="24"/>
          <w:szCs w:val="24"/>
        </w:rPr>
        <w:t>Session name/ number:</w:t>
      </w:r>
      <w:r>
        <w:rPr>
          <w:rFonts w:ascii="Times New Roman" w:hAnsi="Times New Roman"/>
          <w:sz w:val="24"/>
          <w:szCs w:val="24"/>
        </w:rPr>
        <w:t xml:space="preserve"> Track 13: </w:t>
      </w:r>
      <w:proofErr w:type="spellStart"/>
      <w:r>
        <w:rPr>
          <w:rFonts w:ascii="Times New Roman" w:hAnsi="Times New Roman"/>
          <w:sz w:val="24"/>
          <w:szCs w:val="24"/>
        </w:rPr>
        <w:t>Immunoresearch</w:t>
      </w:r>
      <w:proofErr w:type="spellEnd"/>
      <w:r>
        <w:rPr>
          <w:rFonts w:ascii="Times New Roman" w:hAnsi="Times New Roman"/>
          <w:sz w:val="24"/>
          <w:szCs w:val="24"/>
        </w:rPr>
        <w:t xml:space="preserve"> &amp; Immunotherapy</w:t>
      </w:r>
    </w:p>
    <w:p w14:paraId="7B45B141" w14:textId="79EB685E" w:rsidR="000B7994" w:rsidRPr="000B7994" w:rsidRDefault="000B7994" w:rsidP="000B7994">
      <w:pPr>
        <w:contextualSpacing/>
        <w:rPr>
          <w:rFonts w:ascii="Times New Roman" w:hAnsi="Times New Roman"/>
          <w:sz w:val="24"/>
          <w:szCs w:val="24"/>
        </w:rPr>
      </w:pPr>
      <w:r w:rsidRPr="000B7994">
        <w:rPr>
          <w:rFonts w:ascii="Times New Roman" w:hAnsi="Times New Roman"/>
          <w:sz w:val="24"/>
          <w:szCs w:val="24"/>
        </w:rPr>
        <w:t>Category: (Oral presentation)</w:t>
      </w:r>
    </w:p>
    <w:p w14:paraId="4B1CF664" w14:textId="77777777" w:rsidR="0015149F" w:rsidRDefault="0015149F" w:rsidP="000B7994">
      <w:pPr>
        <w:contextualSpacing/>
      </w:pPr>
    </w:p>
    <w:sectPr w:rsidR="0015149F" w:rsidSect="005642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E2"/>
    <w:rsid w:val="000B7994"/>
    <w:rsid w:val="0015149F"/>
    <w:rsid w:val="00450694"/>
    <w:rsid w:val="005642DA"/>
    <w:rsid w:val="008309E2"/>
    <w:rsid w:val="008B4A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CA8D7"/>
  <w15:chartTrackingRefBased/>
  <w15:docId w15:val="{717FB386-F740-B84B-816A-6D007AEAD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9E2"/>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8309E2"/>
  </w:style>
  <w:style w:type="paragraph" w:styleId="HTMLPreformatted">
    <w:name w:val="HTML Preformatted"/>
    <w:basedOn w:val="Normal"/>
    <w:link w:val="HTMLPreformattedChar"/>
    <w:rsid w:val="000B7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0B7994"/>
    <w:rPr>
      <w:rFonts w:ascii="Arial Unicode MS" w:eastAsia="Arial Unicode MS" w:hAnsi="Arial Unicode MS" w:cs="Arial Unicode MS"/>
      <w:color w:val="000000"/>
      <w:sz w:val="20"/>
      <w:szCs w:val="20"/>
      <w:lang w:val="en-GB"/>
    </w:rPr>
  </w:style>
  <w:style w:type="character" w:styleId="Hyperlink">
    <w:name w:val="Hyperlink"/>
    <w:uiPriority w:val="99"/>
    <w:unhideWhenUsed/>
    <w:rsid w:val="000B79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h-yazdi@tums.ac.ir"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2742</Characters>
  <Application>Microsoft Office Word</Application>
  <DocSecurity>0</DocSecurity>
  <Lines>22</Lines>
  <Paragraphs>6</Paragraphs>
  <ScaleCrop>false</ScaleCrop>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Mohammadhossein Yazdi</cp:lastModifiedBy>
  <cp:revision>2</cp:revision>
  <dcterms:created xsi:type="dcterms:W3CDTF">2021-11-25T16:23:00Z</dcterms:created>
  <dcterms:modified xsi:type="dcterms:W3CDTF">2021-11-25T16:23:00Z</dcterms:modified>
</cp:coreProperties>
</file>