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EB50FE" w14:textId="268ACB6D" w:rsidR="00875E69" w:rsidRDefault="00706EA7" w:rsidP="00875E69">
      <w:pPr>
        <w:spacing w:line="360" w:lineRule="auto"/>
        <w:jc w:val="both"/>
        <w:rPr>
          <w:rFonts w:ascii="Times New Roman" w:eastAsia="Calibri" w:hAnsi="Times New Roman"/>
          <w:b/>
          <w:sz w:val="24"/>
          <w:szCs w:val="24"/>
        </w:rPr>
      </w:pPr>
      <w:bookmarkStart w:id="0" w:name="_Toc472062094"/>
      <w:bookmarkStart w:id="1" w:name="_Hlk17316502"/>
      <w:r w:rsidRPr="00875E69">
        <w:rPr>
          <w:rFonts w:ascii="Times New Roman" w:eastAsia="Calibri" w:hAnsi="Times New Roman"/>
          <w:b/>
          <w:sz w:val="24"/>
          <w:szCs w:val="24"/>
        </w:rPr>
        <w:t>Overview</w:t>
      </w:r>
      <w:r>
        <w:rPr>
          <w:rFonts w:ascii="Times New Roman" w:eastAsia="Calibri" w:hAnsi="Times New Roman"/>
          <w:b/>
          <w:sz w:val="24"/>
          <w:szCs w:val="24"/>
        </w:rPr>
        <w:t xml:space="preserve"> Of</w:t>
      </w:r>
      <w:r w:rsidRPr="00875E69">
        <w:rPr>
          <w:rFonts w:ascii="Times New Roman" w:eastAsia="Calibri" w:hAnsi="Times New Roman"/>
          <w:b/>
          <w:sz w:val="24"/>
          <w:szCs w:val="24"/>
        </w:rPr>
        <w:t xml:space="preserve"> Diphtheria Toxin Antibody Before And After Vaccin</w:t>
      </w:r>
      <w:r>
        <w:rPr>
          <w:rFonts w:ascii="Times New Roman" w:eastAsia="Calibri" w:hAnsi="Times New Roman"/>
          <w:b/>
          <w:sz w:val="24"/>
          <w:szCs w:val="24"/>
        </w:rPr>
        <w:t>ation</w:t>
      </w:r>
      <w:r w:rsidRPr="00875E69">
        <w:rPr>
          <w:rFonts w:ascii="Times New Roman" w:eastAsia="Calibri" w:hAnsi="Times New Roman"/>
          <w:b/>
          <w:sz w:val="24"/>
          <w:szCs w:val="24"/>
        </w:rPr>
        <w:t xml:space="preserve"> Tetanus Diphtheria (Td) And </w:t>
      </w:r>
      <w:r>
        <w:rPr>
          <w:rFonts w:ascii="Times New Roman" w:eastAsia="Calibri" w:hAnsi="Times New Roman"/>
          <w:b/>
          <w:sz w:val="24"/>
          <w:szCs w:val="24"/>
        </w:rPr>
        <w:t>Adverse</w:t>
      </w:r>
      <w:r w:rsidRPr="00875E69">
        <w:rPr>
          <w:rFonts w:ascii="Times New Roman" w:eastAsia="Calibri" w:hAnsi="Times New Roman"/>
          <w:b/>
          <w:sz w:val="24"/>
          <w:szCs w:val="24"/>
        </w:rPr>
        <w:t xml:space="preserve"> Events </w:t>
      </w:r>
      <w:r>
        <w:rPr>
          <w:rFonts w:ascii="Times New Roman" w:eastAsia="Calibri" w:hAnsi="Times New Roman"/>
          <w:b/>
          <w:sz w:val="24"/>
          <w:szCs w:val="24"/>
        </w:rPr>
        <w:t xml:space="preserve">Following </w:t>
      </w:r>
      <w:r w:rsidRPr="00875E69">
        <w:rPr>
          <w:rFonts w:ascii="Times New Roman" w:eastAsia="Calibri" w:hAnsi="Times New Roman"/>
          <w:b/>
          <w:sz w:val="24"/>
          <w:szCs w:val="24"/>
        </w:rPr>
        <w:t>Immunization (</w:t>
      </w:r>
      <w:proofErr w:type="spellStart"/>
      <w:r>
        <w:rPr>
          <w:rFonts w:ascii="Times New Roman" w:eastAsia="Calibri" w:hAnsi="Times New Roman"/>
          <w:b/>
          <w:sz w:val="24"/>
          <w:szCs w:val="24"/>
        </w:rPr>
        <w:t>Aefi</w:t>
      </w:r>
      <w:proofErr w:type="spellEnd"/>
      <w:r w:rsidRPr="00875E69">
        <w:rPr>
          <w:rFonts w:ascii="Times New Roman" w:eastAsia="Calibri" w:hAnsi="Times New Roman"/>
          <w:b/>
          <w:sz w:val="24"/>
          <w:szCs w:val="24"/>
        </w:rPr>
        <w:t>) Adult</w:t>
      </w:r>
    </w:p>
    <w:p w14:paraId="1BA58194" w14:textId="720B6362" w:rsidR="00875E69" w:rsidRDefault="00875E69" w:rsidP="00875E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Esti Syafriati, </w:t>
      </w:r>
      <w:proofErr w:type="spellStart"/>
      <w:r>
        <w:rPr>
          <w:rFonts w:ascii="Times New Roman" w:hAnsi="Times New Roman" w:cs="Times New Roman"/>
          <w:sz w:val="24"/>
          <w:szCs w:val="24"/>
        </w:rPr>
        <w:t>Rachmat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Gunadi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Wachyudi</w:t>
      </w:r>
      <w:proofErr w:type="spellEnd"/>
      <w:r>
        <w:rPr>
          <w:rFonts w:ascii="Times New Roman" w:hAnsi="Times New Roman" w:cs="Times New Roman"/>
          <w:sz w:val="24"/>
          <w:szCs w:val="24"/>
        </w:rPr>
        <w:t xml:space="preserve">, Emmy </w:t>
      </w:r>
      <w:bookmarkStart w:id="2" w:name="_GoBack"/>
      <w:proofErr w:type="spellStart"/>
      <w:r>
        <w:rPr>
          <w:rFonts w:ascii="Times New Roman" w:hAnsi="Times New Roman" w:cs="Times New Roman"/>
          <w:sz w:val="24"/>
          <w:szCs w:val="24"/>
        </w:rPr>
        <w:t>Hermiyanti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Pranggono</w:t>
      </w:r>
      <w:proofErr w:type="spellEnd"/>
      <w:r>
        <w:rPr>
          <w:rFonts w:ascii="Times New Roman" w:hAnsi="Times New Roman" w:cs="Times New Roman"/>
          <w:sz w:val="24"/>
          <w:szCs w:val="24"/>
        </w:rPr>
        <w:t xml:space="preserve"> </w:t>
      </w:r>
      <w:bookmarkEnd w:id="2"/>
      <w:r>
        <w:rPr>
          <w:rFonts w:ascii="Times New Roman" w:hAnsi="Times New Roman" w:cs="Times New Roman"/>
          <w:sz w:val="24"/>
          <w:szCs w:val="24"/>
        </w:rPr>
        <w:t>*</w:t>
      </w:r>
    </w:p>
    <w:p w14:paraId="3768D41F" w14:textId="1DF5F936" w:rsidR="00875E69" w:rsidRDefault="00875E69" w:rsidP="00875E6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 Department of Medicine, Faculty of Medicine, University of </w:t>
      </w:r>
      <w:proofErr w:type="spellStart"/>
      <w:r>
        <w:rPr>
          <w:rFonts w:ascii="Times New Roman" w:hAnsi="Times New Roman" w:cs="Times New Roman"/>
          <w:sz w:val="24"/>
          <w:szCs w:val="24"/>
        </w:rPr>
        <w:t>Padjadjaran</w:t>
      </w:r>
      <w:proofErr w:type="spellEnd"/>
      <w:r>
        <w:rPr>
          <w:rFonts w:ascii="Times New Roman" w:hAnsi="Times New Roman" w:cs="Times New Roman"/>
          <w:sz w:val="24"/>
          <w:szCs w:val="24"/>
        </w:rPr>
        <w:t xml:space="preserve"> / </w:t>
      </w:r>
      <w:r w:rsidR="0070434B">
        <w:rPr>
          <w:rFonts w:ascii="Times New Roman" w:hAnsi="Times New Roman" w:cs="Times New Roman"/>
          <w:sz w:val="24"/>
          <w:szCs w:val="24"/>
        </w:rPr>
        <w:t xml:space="preserve">RSUP </w:t>
      </w:r>
      <w:r>
        <w:rPr>
          <w:rFonts w:ascii="Times New Roman" w:hAnsi="Times New Roman" w:cs="Times New Roman"/>
          <w:sz w:val="24"/>
          <w:szCs w:val="24"/>
        </w:rPr>
        <w:t xml:space="preserve">dr. Hasan </w:t>
      </w:r>
      <w:proofErr w:type="spellStart"/>
      <w:r>
        <w:rPr>
          <w:rFonts w:ascii="Times New Roman" w:hAnsi="Times New Roman" w:cs="Times New Roman"/>
          <w:sz w:val="24"/>
          <w:szCs w:val="24"/>
        </w:rPr>
        <w:t>Sadikin</w:t>
      </w:r>
      <w:proofErr w:type="spellEnd"/>
      <w:r>
        <w:rPr>
          <w:rFonts w:ascii="Times New Roman" w:hAnsi="Times New Roman" w:cs="Times New Roman"/>
          <w:sz w:val="24"/>
          <w:szCs w:val="24"/>
        </w:rPr>
        <w:t>.</w:t>
      </w:r>
    </w:p>
    <w:p w14:paraId="4B9E7C6F" w14:textId="58E9CF28" w:rsidR="00875E69" w:rsidRPr="00DB4B05" w:rsidRDefault="0070434B" w:rsidP="00875E69">
      <w:pPr>
        <w:spacing w:line="360" w:lineRule="auto"/>
        <w:jc w:val="both"/>
        <w:rPr>
          <w:rFonts w:ascii="Times New Roman" w:hAnsi="Times New Roman" w:cs="Times New Roman"/>
          <w:sz w:val="24"/>
          <w:szCs w:val="24"/>
          <w:lang w:val="id-ID"/>
        </w:rPr>
      </w:pPr>
      <w:r w:rsidRPr="0070434B">
        <w:rPr>
          <w:rFonts w:ascii="Times New Roman" w:hAnsi="Times New Roman" w:cs="Times New Roman"/>
          <w:sz w:val="24"/>
          <w:szCs w:val="24"/>
          <w:lang w:val="id-ID"/>
        </w:rPr>
        <w:t>Correspondence</w:t>
      </w:r>
      <w:r w:rsidR="00875E69">
        <w:rPr>
          <w:rFonts w:ascii="Times New Roman" w:hAnsi="Times New Roman" w:cs="Times New Roman"/>
          <w:sz w:val="24"/>
          <w:szCs w:val="24"/>
          <w:lang w:val="id-ID"/>
        </w:rPr>
        <w:t xml:space="preserve">: Esti Syafriati, HP 0811661331, email: </w:t>
      </w:r>
      <w:r>
        <w:rPr>
          <w:rFonts w:ascii="Times New Roman" w:hAnsi="Times New Roman" w:cs="Times New Roman"/>
          <w:sz w:val="24"/>
          <w:szCs w:val="24"/>
          <w:lang w:val="id-ID"/>
        </w:rPr>
        <w:fldChar w:fldCharType="begin"/>
      </w:r>
      <w:r>
        <w:rPr>
          <w:rFonts w:ascii="Times New Roman" w:hAnsi="Times New Roman" w:cs="Times New Roman"/>
          <w:sz w:val="24"/>
          <w:szCs w:val="24"/>
          <w:lang w:val="id-ID"/>
        </w:rPr>
        <w:instrText xml:space="preserve"> HYPERLINK "mailto:</w:instrText>
      </w:r>
      <w:r w:rsidRPr="003D671B">
        <w:rPr>
          <w:rFonts w:ascii="Times New Roman" w:hAnsi="Times New Roman" w:cs="Times New Roman"/>
          <w:sz w:val="24"/>
          <w:szCs w:val="24"/>
          <w:lang w:val="id-ID"/>
        </w:rPr>
        <w:instrText>esti.syf@gmail.com</w:instrText>
      </w:r>
      <w:r>
        <w:rPr>
          <w:rFonts w:ascii="Times New Roman" w:hAnsi="Times New Roman" w:cs="Times New Roman"/>
          <w:sz w:val="24"/>
          <w:szCs w:val="24"/>
          <w:lang w:val="id-ID"/>
        </w:rPr>
        <w:instrText xml:space="preserve">" </w:instrText>
      </w:r>
      <w:r>
        <w:rPr>
          <w:rFonts w:ascii="Times New Roman" w:hAnsi="Times New Roman" w:cs="Times New Roman"/>
          <w:sz w:val="24"/>
          <w:szCs w:val="24"/>
          <w:lang w:val="id-ID"/>
        </w:rPr>
        <w:fldChar w:fldCharType="separate"/>
      </w:r>
      <w:r w:rsidRPr="0036576E">
        <w:rPr>
          <w:rStyle w:val="Hyperlink"/>
          <w:rFonts w:ascii="Times New Roman" w:hAnsi="Times New Roman" w:cs="Times New Roman"/>
          <w:sz w:val="24"/>
          <w:szCs w:val="24"/>
          <w:lang w:val="id-ID"/>
        </w:rPr>
        <w:t>esti.syf@gmail.com</w:t>
      </w:r>
      <w:r>
        <w:rPr>
          <w:rFonts w:ascii="Times New Roman" w:hAnsi="Times New Roman" w:cs="Times New Roman"/>
          <w:sz w:val="24"/>
          <w:szCs w:val="24"/>
          <w:lang w:val="id-ID"/>
        </w:rPr>
        <w:fldChar w:fldCharType="end"/>
      </w:r>
    </w:p>
    <w:p w14:paraId="35D1ED16" w14:textId="77777777" w:rsidR="00875E69" w:rsidRDefault="00875E69" w:rsidP="00D24F78">
      <w:pPr>
        <w:spacing w:line="360" w:lineRule="auto"/>
        <w:rPr>
          <w:rFonts w:ascii="Times New Roman" w:eastAsia="Calibri" w:hAnsi="Times New Roman"/>
          <w:bCs/>
          <w:sz w:val="24"/>
          <w:szCs w:val="24"/>
        </w:rPr>
      </w:pPr>
    </w:p>
    <w:p w14:paraId="4F69B5BB" w14:textId="47983910" w:rsidR="0079086B" w:rsidRDefault="0079086B" w:rsidP="00D24F78">
      <w:pPr>
        <w:spacing w:line="360" w:lineRule="auto"/>
        <w:rPr>
          <w:rFonts w:ascii="Times New Roman" w:hAnsi="Times New Roman" w:cs="Times New Roman"/>
          <w:b/>
          <w:sz w:val="24"/>
          <w:szCs w:val="24"/>
        </w:rPr>
      </w:pPr>
      <w:r>
        <w:rPr>
          <w:rFonts w:ascii="Times New Roman" w:hAnsi="Times New Roman" w:cs="Times New Roman"/>
          <w:b/>
          <w:sz w:val="24"/>
          <w:szCs w:val="24"/>
        </w:rPr>
        <w:t>ABSTRACT</w:t>
      </w:r>
    </w:p>
    <w:p w14:paraId="256DB48E" w14:textId="4A8D109B" w:rsidR="0079086B" w:rsidRDefault="0079086B" w:rsidP="0070434B">
      <w:pPr>
        <w:spacing w:line="360" w:lineRule="auto"/>
        <w:ind w:firstLine="720"/>
        <w:jc w:val="both"/>
        <w:rPr>
          <w:rFonts w:ascii="Times New Roman" w:hAnsi="Times New Roman" w:cs="Times New Roman"/>
          <w:sz w:val="24"/>
          <w:szCs w:val="24"/>
        </w:rPr>
      </w:pPr>
      <w:r w:rsidRPr="0070434B">
        <w:rPr>
          <w:rFonts w:ascii="Times New Roman" w:hAnsi="Times New Roman" w:cs="Times New Roman"/>
          <w:b/>
          <w:bCs/>
          <w:sz w:val="24"/>
          <w:szCs w:val="24"/>
        </w:rPr>
        <w:t>Introduction</w:t>
      </w:r>
      <w:r>
        <w:rPr>
          <w:rFonts w:ascii="Times New Roman" w:hAnsi="Times New Roman" w:cs="Times New Roman"/>
          <w:sz w:val="24"/>
          <w:szCs w:val="24"/>
        </w:rPr>
        <w:t>: Indonesia has the potential for diphtheria</w:t>
      </w:r>
      <w:r w:rsidR="00E64416">
        <w:rPr>
          <w:rFonts w:ascii="Times New Roman" w:hAnsi="Times New Roman" w:cs="Times New Roman"/>
          <w:sz w:val="24"/>
          <w:szCs w:val="24"/>
        </w:rPr>
        <w:t xml:space="preserve"> because re-immunization has not yet been implemented in adults</w:t>
      </w:r>
      <w:r>
        <w:rPr>
          <w:rFonts w:ascii="Times New Roman" w:hAnsi="Times New Roman" w:cs="Times New Roman"/>
          <w:sz w:val="24"/>
          <w:szCs w:val="24"/>
        </w:rPr>
        <w:t xml:space="preserve"> Successful implementation of immunization in infants and children has reduced the number</w:t>
      </w:r>
      <w:r w:rsidR="00E64416">
        <w:rPr>
          <w:rFonts w:ascii="Times New Roman" w:hAnsi="Times New Roman" w:cs="Times New Roman"/>
          <w:sz w:val="24"/>
          <w:szCs w:val="24"/>
        </w:rPr>
        <w:t xml:space="preserve"> of infections</w:t>
      </w:r>
      <w:r>
        <w:rPr>
          <w:rFonts w:ascii="Times New Roman" w:hAnsi="Times New Roman" w:cs="Times New Roman"/>
          <w:sz w:val="24"/>
          <w:szCs w:val="24"/>
        </w:rPr>
        <w:t xml:space="preserve"> drastically but is expected </w:t>
      </w:r>
      <w:r w:rsidR="00E64416">
        <w:rPr>
          <w:rFonts w:ascii="Times New Roman" w:hAnsi="Times New Roman" w:cs="Times New Roman"/>
          <w:sz w:val="24"/>
          <w:szCs w:val="24"/>
        </w:rPr>
        <w:t xml:space="preserve">the </w:t>
      </w:r>
      <w:r>
        <w:rPr>
          <w:rFonts w:ascii="Times New Roman" w:hAnsi="Times New Roman" w:cs="Times New Roman"/>
          <w:sz w:val="24"/>
          <w:szCs w:val="24"/>
        </w:rPr>
        <w:t xml:space="preserve">sustainability of immunization can create herd immunity. There has been no research on how the levels of antibodies against diphtheria toxin in the adult population and the security of the Td vaccine in the adult population in Indonesia. This study aims to assess </w:t>
      </w:r>
      <w:r w:rsidR="00E64416">
        <w:rPr>
          <w:rFonts w:ascii="Times New Roman" w:hAnsi="Times New Roman" w:cs="Times New Roman"/>
          <w:sz w:val="24"/>
          <w:szCs w:val="24"/>
        </w:rPr>
        <w:t xml:space="preserve">the immunogenicity and </w:t>
      </w:r>
      <w:r>
        <w:rPr>
          <w:rFonts w:ascii="Times New Roman" w:hAnsi="Times New Roman" w:cs="Times New Roman"/>
          <w:sz w:val="24"/>
          <w:szCs w:val="24"/>
        </w:rPr>
        <w:t>the safety of the tetanus diphtheria (Td)</w:t>
      </w:r>
      <w:r w:rsidR="00E64416">
        <w:rPr>
          <w:rFonts w:ascii="Times New Roman" w:hAnsi="Times New Roman" w:cs="Times New Roman"/>
          <w:sz w:val="24"/>
          <w:szCs w:val="24"/>
        </w:rPr>
        <w:t xml:space="preserve"> vaccine</w:t>
      </w:r>
      <w:r>
        <w:rPr>
          <w:rFonts w:ascii="Times New Roman" w:hAnsi="Times New Roman" w:cs="Times New Roman"/>
          <w:sz w:val="24"/>
          <w:szCs w:val="24"/>
        </w:rPr>
        <w:t xml:space="preserve"> given as repeated immunization in the adult population.</w:t>
      </w:r>
    </w:p>
    <w:p w14:paraId="7CB47B75" w14:textId="67B258C8" w:rsidR="0079086B" w:rsidRDefault="0079086B" w:rsidP="00E64416">
      <w:pPr>
        <w:spacing w:line="360" w:lineRule="auto"/>
        <w:ind w:firstLine="720"/>
        <w:jc w:val="both"/>
        <w:rPr>
          <w:rFonts w:ascii="Times New Roman" w:hAnsi="Times New Roman" w:cs="Times New Roman"/>
          <w:sz w:val="24"/>
          <w:szCs w:val="24"/>
          <w:lang w:val="id-ID"/>
        </w:rPr>
      </w:pPr>
      <w:r w:rsidRPr="0070434B">
        <w:rPr>
          <w:rFonts w:ascii="Times New Roman" w:hAnsi="Times New Roman" w:cs="Times New Roman"/>
          <w:b/>
          <w:bCs/>
          <w:sz w:val="24"/>
          <w:szCs w:val="24"/>
        </w:rPr>
        <w:t>Method</w:t>
      </w:r>
      <w:r>
        <w:rPr>
          <w:rFonts w:ascii="Times New Roman" w:hAnsi="Times New Roman" w:cs="Times New Roman"/>
          <w:sz w:val="24"/>
          <w:szCs w:val="24"/>
        </w:rPr>
        <w:t xml:space="preserve">: </w:t>
      </w:r>
      <w:r>
        <w:rPr>
          <w:rFonts w:ascii="Times New Roman" w:hAnsi="Times New Roman" w:cs="Times New Roman"/>
          <w:color w:val="000000"/>
          <w:sz w:val="24"/>
          <w:szCs w:val="24"/>
          <w:lang w:val="en-ID"/>
        </w:rPr>
        <w:t>This study used a quasi-experimental research design without a control group</w:t>
      </w:r>
      <w:r>
        <w:rPr>
          <w:rFonts w:ascii="Times New Roman" w:hAnsi="Times New Roman" w:cs="Times New Roman"/>
          <w:sz w:val="24"/>
          <w:szCs w:val="24"/>
        </w:rPr>
        <w:t>, Subjects were healthy adult population</w:t>
      </w:r>
      <w:r w:rsidR="00E64416">
        <w:rPr>
          <w:rFonts w:ascii="Times New Roman" w:hAnsi="Times New Roman" w:cs="Times New Roman"/>
          <w:sz w:val="24"/>
          <w:szCs w:val="24"/>
        </w:rPr>
        <w:t>s</w:t>
      </w:r>
      <w:r>
        <w:rPr>
          <w:rFonts w:ascii="Times New Roman" w:hAnsi="Times New Roman" w:cs="Times New Roman"/>
          <w:sz w:val="24"/>
          <w:szCs w:val="24"/>
        </w:rPr>
        <w:t xml:space="preserve"> who </w:t>
      </w:r>
      <w:r w:rsidR="00E64416">
        <w:rPr>
          <w:rFonts w:ascii="Times New Roman" w:hAnsi="Times New Roman" w:cs="Times New Roman"/>
          <w:sz w:val="24"/>
          <w:szCs w:val="24"/>
        </w:rPr>
        <w:t>do duty</w:t>
      </w:r>
      <w:r>
        <w:rPr>
          <w:rFonts w:ascii="Times New Roman" w:hAnsi="Times New Roman" w:cs="Times New Roman"/>
          <w:sz w:val="24"/>
          <w:szCs w:val="24"/>
        </w:rPr>
        <w:t xml:space="preserve"> in Hasan </w:t>
      </w:r>
      <w:proofErr w:type="spellStart"/>
      <w:r>
        <w:rPr>
          <w:rFonts w:ascii="Times New Roman" w:hAnsi="Times New Roman" w:cs="Times New Roman"/>
          <w:sz w:val="24"/>
          <w:szCs w:val="24"/>
        </w:rPr>
        <w:t>Sadikin</w:t>
      </w:r>
      <w:proofErr w:type="spellEnd"/>
      <w:r>
        <w:rPr>
          <w:rFonts w:ascii="Times New Roman" w:hAnsi="Times New Roman" w:cs="Times New Roman"/>
          <w:sz w:val="24"/>
          <w:szCs w:val="24"/>
        </w:rPr>
        <w:t xml:space="preserve"> Bandung in June-July 2019. It was found 32 people as research subjects, but there are two subjects were excluded, then subjects who meet the inclusion and exclusion criteria will receive </w:t>
      </w:r>
      <w:r w:rsidR="00E64416">
        <w:rPr>
          <w:rFonts w:ascii="Times New Roman" w:hAnsi="Times New Roman" w:cs="Times New Roman"/>
          <w:sz w:val="24"/>
          <w:szCs w:val="24"/>
        </w:rPr>
        <w:t xml:space="preserve">a </w:t>
      </w:r>
      <w:r>
        <w:rPr>
          <w:rFonts w:ascii="Times New Roman" w:hAnsi="Times New Roman" w:cs="Times New Roman"/>
          <w:sz w:val="24"/>
          <w:szCs w:val="24"/>
        </w:rPr>
        <w:t>Td vaccine 0.5 mL intramuscularly. Examination of anti-diphtheria antibody levels before and 1 month after immunization using the technique of enzyme</w:t>
      </w:r>
      <w:r w:rsidR="00E64416">
        <w:rPr>
          <w:rFonts w:ascii="Times New Roman" w:hAnsi="Times New Roman" w:cs="Times New Roman"/>
          <w:sz w:val="24"/>
          <w:szCs w:val="24"/>
        </w:rPr>
        <w:t>-</w:t>
      </w:r>
      <w:r>
        <w:rPr>
          <w:rFonts w:ascii="Times New Roman" w:hAnsi="Times New Roman" w:cs="Times New Roman"/>
          <w:sz w:val="24"/>
          <w:szCs w:val="24"/>
        </w:rPr>
        <w:t xml:space="preserve">linked immunosorbent assays (ELISAs). </w:t>
      </w:r>
      <w:r w:rsidR="00E64416">
        <w:rPr>
          <w:rFonts w:ascii="Times New Roman" w:hAnsi="Times New Roman" w:cs="Times New Roman"/>
          <w:sz w:val="24"/>
          <w:szCs w:val="24"/>
        </w:rPr>
        <w:t xml:space="preserve">Safety data (KIPI) are collected up to 1 month after immunization </w:t>
      </w:r>
      <w:bookmarkStart w:id="3" w:name="_Hlk17509800"/>
      <w:r w:rsidR="00E64416">
        <w:rPr>
          <w:rFonts w:ascii="Times New Roman" w:hAnsi="Times New Roman" w:cs="Times New Roman"/>
          <w:sz w:val="24"/>
          <w:szCs w:val="24"/>
        </w:rPr>
        <w:t>using a daily control card</w:t>
      </w:r>
      <w:bookmarkEnd w:id="3"/>
      <w:r w:rsidR="00E64416">
        <w:rPr>
          <w:rFonts w:ascii="Times New Roman" w:hAnsi="Times New Roman" w:cs="Times New Roman"/>
          <w:sz w:val="24"/>
          <w:szCs w:val="24"/>
        </w:rPr>
        <w:t>.</w:t>
      </w:r>
    </w:p>
    <w:p w14:paraId="32F12979" w14:textId="4004EEB0" w:rsidR="0079086B" w:rsidRDefault="0079086B" w:rsidP="0070434B">
      <w:pPr>
        <w:spacing w:line="360" w:lineRule="auto"/>
        <w:ind w:firstLine="720"/>
        <w:jc w:val="both"/>
        <w:rPr>
          <w:rFonts w:ascii="Times New Roman" w:hAnsi="Times New Roman" w:cs="Times New Roman"/>
          <w:color w:val="000000"/>
          <w:sz w:val="22"/>
          <w:szCs w:val="22"/>
        </w:rPr>
      </w:pPr>
      <w:r w:rsidRPr="0070434B">
        <w:rPr>
          <w:rFonts w:ascii="Times New Roman" w:hAnsi="Times New Roman" w:cs="Times New Roman"/>
          <w:b/>
          <w:bCs/>
          <w:sz w:val="24"/>
          <w:szCs w:val="24"/>
        </w:rPr>
        <w:t>Results</w:t>
      </w:r>
      <w:r>
        <w:rPr>
          <w:rFonts w:ascii="Times New Roman" w:hAnsi="Times New Roman" w:cs="Times New Roman"/>
          <w:sz w:val="24"/>
          <w:szCs w:val="24"/>
        </w:rPr>
        <w:t>: The number of research subjects as many as 30 people. Most of the study subjects were women with a medi</w:t>
      </w:r>
      <w:r w:rsidR="00E64416">
        <w:rPr>
          <w:rFonts w:ascii="Times New Roman" w:hAnsi="Times New Roman" w:cs="Times New Roman"/>
          <w:sz w:val="24"/>
          <w:szCs w:val="24"/>
        </w:rPr>
        <w:t>an</w:t>
      </w:r>
      <w:r>
        <w:rPr>
          <w:rFonts w:ascii="Times New Roman" w:hAnsi="Times New Roman" w:cs="Times New Roman"/>
          <w:sz w:val="24"/>
          <w:szCs w:val="24"/>
        </w:rPr>
        <w:t xml:space="preserve"> age of 22 years with a mini-max (20-24). From the results of this study, the concentration of antibodies </w:t>
      </w:r>
      <w:proofErr w:type="spellStart"/>
      <w:r>
        <w:rPr>
          <w:rFonts w:ascii="Times New Roman" w:hAnsi="Times New Roman" w:cs="Times New Roman"/>
          <w:sz w:val="24"/>
          <w:szCs w:val="24"/>
        </w:rPr>
        <w:t>seroprot</w:t>
      </w:r>
      <w:proofErr w:type="spellEnd"/>
      <w:r w:rsidR="00881594">
        <w:rPr>
          <w:rFonts w:ascii="Times New Roman" w:hAnsi="Times New Roman" w:cs="Times New Roman"/>
          <w:sz w:val="24"/>
          <w:szCs w:val="24"/>
          <w:lang w:val="id-ID"/>
        </w:rPr>
        <w:t xml:space="preserve">ection </w:t>
      </w:r>
      <w:r w:rsidRPr="00875E69">
        <w:rPr>
          <w:rFonts w:ascii="Times New Roman" w:hAnsi="Times New Roman" w:cs="Times New Roman"/>
          <w:color w:val="000000"/>
          <w:sz w:val="24"/>
          <w:szCs w:val="24"/>
        </w:rPr>
        <w:t>(≥0,1 IU / mL) against diphtheria reached 100%. The geometric mean titers (GMT) against diphtheria increased from 0.323 IU / mL to 1,029 IU / local mL</w:t>
      </w:r>
      <w:r w:rsidR="00881594">
        <w:rPr>
          <w:rFonts w:ascii="Times New Roman" w:hAnsi="Times New Roman" w:cs="Times New Roman"/>
          <w:color w:val="000000"/>
          <w:sz w:val="24"/>
          <w:szCs w:val="24"/>
          <w:lang w:val="id-ID"/>
        </w:rPr>
        <w:t xml:space="preserve">. </w:t>
      </w:r>
      <w:r w:rsidR="00E64416">
        <w:rPr>
          <w:rFonts w:ascii="Times New Roman" w:hAnsi="Times New Roman" w:cs="Times New Roman"/>
          <w:color w:val="000000"/>
          <w:sz w:val="24"/>
          <w:szCs w:val="24"/>
        </w:rPr>
        <w:t>The r</w:t>
      </w:r>
      <w:r w:rsidRPr="00875E69">
        <w:rPr>
          <w:rFonts w:ascii="Times New Roman" w:hAnsi="Times New Roman" w:cs="Times New Roman"/>
          <w:color w:val="000000"/>
          <w:sz w:val="24"/>
          <w:szCs w:val="24"/>
        </w:rPr>
        <w:t>ea</w:t>
      </w:r>
      <w:r w:rsidR="00881594">
        <w:rPr>
          <w:rFonts w:ascii="Times New Roman" w:hAnsi="Times New Roman" w:cs="Times New Roman"/>
          <w:color w:val="000000"/>
          <w:sz w:val="24"/>
          <w:szCs w:val="24"/>
          <w:lang w:val="id-ID"/>
        </w:rPr>
        <w:t>ction</w:t>
      </w:r>
      <w:r w:rsidRPr="00875E69">
        <w:rPr>
          <w:rFonts w:ascii="Times New Roman" w:hAnsi="Times New Roman" w:cs="Times New Roman"/>
          <w:color w:val="000000"/>
          <w:sz w:val="24"/>
          <w:szCs w:val="24"/>
        </w:rPr>
        <w:t xml:space="preserve"> of pain at the injection occurs </w:t>
      </w:r>
      <w:r w:rsidR="00E64416">
        <w:rPr>
          <w:rFonts w:ascii="Times New Roman" w:hAnsi="Times New Roman" w:cs="Times New Roman"/>
          <w:color w:val="000000"/>
          <w:sz w:val="24"/>
          <w:szCs w:val="24"/>
        </w:rPr>
        <w:t xml:space="preserve">the </w:t>
      </w:r>
      <w:r w:rsidRPr="00875E69">
        <w:rPr>
          <w:rFonts w:ascii="Times New Roman" w:hAnsi="Times New Roman" w:cs="Times New Roman"/>
          <w:color w:val="000000"/>
          <w:sz w:val="24"/>
          <w:szCs w:val="24"/>
        </w:rPr>
        <w:t xml:space="preserve">first day and a 56.7% decrease on the second day 23.3% and 10% on the second day. Systemic </w:t>
      </w:r>
      <w:r w:rsidR="00E64416">
        <w:rPr>
          <w:rFonts w:ascii="Times New Roman" w:hAnsi="Times New Roman" w:cs="Times New Roman"/>
          <w:color w:val="000000"/>
          <w:sz w:val="24"/>
          <w:szCs w:val="24"/>
        </w:rPr>
        <w:t>reactions</w:t>
      </w:r>
      <w:r w:rsidRPr="00875E69">
        <w:rPr>
          <w:rFonts w:ascii="Times New Roman" w:hAnsi="Times New Roman" w:cs="Times New Roman"/>
          <w:color w:val="000000"/>
          <w:sz w:val="24"/>
          <w:szCs w:val="24"/>
        </w:rPr>
        <w:t xml:space="preserve"> include fever occurs only 3.3% on the first day and muscle aches 13.3% in the first and second day. There </w:t>
      </w:r>
      <w:r w:rsidR="00E64416">
        <w:rPr>
          <w:rFonts w:ascii="Times New Roman" w:hAnsi="Times New Roman" w:cs="Times New Roman"/>
          <w:color w:val="000000"/>
          <w:sz w:val="24"/>
          <w:szCs w:val="24"/>
        </w:rPr>
        <w:t>are</w:t>
      </w:r>
      <w:r w:rsidRPr="00875E69">
        <w:rPr>
          <w:rFonts w:ascii="Times New Roman" w:hAnsi="Times New Roman" w:cs="Times New Roman"/>
          <w:color w:val="000000"/>
          <w:sz w:val="24"/>
          <w:szCs w:val="24"/>
        </w:rPr>
        <w:t xml:space="preserve"> no co-occurring post-immunization reactions </w:t>
      </w:r>
      <w:r w:rsidR="00E64416">
        <w:rPr>
          <w:rFonts w:ascii="Times New Roman" w:hAnsi="Times New Roman" w:cs="Times New Roman"/>
          <w:color w:val="000000"/>
          <w:sz w:val="24"/>
          <w:szCs w:val="24"/>
        </w:rPr>
        <w:t xml:space="preserve">that </w:t>
      </w:r>
      <w:r w:rsidRPr="00875E69">
        <w:rPr>
          <w:rFonts w:ascii="Times New Roman" w:hAnsi="Times New Roman" w:cs="Times New Roman"/>
          <w:color w:val="000000"/>
          <w:sz w:val="24"/>
          <w:szCs w:val="24"/>
        </w:rPr>
        <w:t>were serious and well</w:t>
      </w:r>
      <w:r w:rsidR="00E64416">
        <w:rPr>
          <w:rFonts w:ascii="Times New Roman" w:hAnsi="Times New Roman" w:cs="Times New Roman"/>
          <w:color w:val="000000"/>
          <w:sz w:val="24"/>
          <w:szCs w:val="24"/>
        </w:rPr>
        <w:t>-</w:t>
      </w:r>
      <w:r w:rsidRPr="00875E69">
        <w:rPr>
          <w:rFonts w:ascii="Times New Roman" w:hAnsi="Times New Roman" w:cs="Times New Roman"/>
          <w:color w:val="000000"/>
          <w:sz w:val="24"/>
          <w:szCs w:val="24"/>
        </w:rPr>
        <w:t>tolerated.</w:t>
      </w:r>
    </w:p>
    <w:p w14:paraId="2C2533A2" w14:textId="7053D385" w:rsidR="0079086B" w:rsidRPr="00D24F78" w:rsidRDefault="0079086B" w:rsidP="00875E69">
      <w:pPr>
        <w:spacing w:line="360" w:lineRule="auto"/>
        <w:jc w:val="both"/>
        <w:rPr>
          <w:rFonts w:ascii="Times New Roman" w:hAnsi="Times New Roman" w:cs="Times New Roman"/>
          <w:sz w:val="24"/>
          <w:szCs w:val="24"/>
          <w:lang w:val="en-ID"/>
        </w:rPr>
      </w:pPr>
      <w:r w:rsidRPr="00AF35F8">
        <w:rPr>
          <w:rFonts w:ascii="Times New Roman" w:hAnsi="Times New Roman" w:cs="Times New Roman"/>
          <w:color w:val="000000"/>
          <w:sz w:val="24"/>
          <w:szCs w:val="24"/>
        </w:rPr>
        <w:lastRenderedPageBreak/>
        <w:t xml:space="preserve"> conclusion: </w:t>
      </w:r>
      <w:r w:rsidRPr="00AF35F8">
        <w:rPr>
          <w:rFonts w:ascii="Times New Roman" w:hAnsi="Times New Roman" w:cs="Times New Roman"/>
          <w:sz w:val="24"/>
          <w:szCs w:val="24"/>
        </w:rPr>
        <w:t>The study concluded that repeated immunization Td increase levels of protective antibodies against diphtheria and safely administered in the adult population.</w:t>
      </w:r>
    </w:p>
    <w:p w14:paraId="2A3A9D81" w14:textId="77777777" w:rsidR="0079086B" w:rsidRDefault="0079086B" w:rsidP="00875E69">
      <w:pPr>
        <w:spacing w:after="200" w:line="360" w:lineRule="auto"/>
        <w:jc w:val="both"/>
        <w:rPr>
          <w:rFonts w:ascii="Times New Roman" w:hAnsi="Times New Roman" w:cs="Times New Roman"/>
          <w:b/>
          <w:sz w:val="24"/>
          <w:szCs w:val="24"/>
          <w:lang w:val="id-ID"/>
        </w:rPr>
      </w:pPr>
      <w:r>
        <w:rPr>
          <w:rFonts w:ascii="Times New Roman" w:hAnsi="Times New Roman" w:cs="Times New Roman"/>
          <w:b/>
          <w:sz w:val="24"/>
          <w:szCs w:val="24"/>
        </w:rPr>
        <w:t>Keywords: Immunization Td repetition, antibody's security, mature</w:t>
      </w:r>
    </w:p>
    <w:p w14:paraId="1680655B" w14:textId="0D30F3BF" w:rsidR="00DA665D" w:rsidRDefault="001A1360" w:rsidP="00875E69">
      <w:pPr>
        <w:pStyle w:val="ListParagraph"/>
        <w:tabs>
          <w:tab w:val="left" w:pos="0"/>
        </w:tabs>
        <w:autoSpaceDE w:val="0"/>
        <w:autoSpaceDN w:val="0"/>
        <w:adjustRightInd w:val="0"/>
        <w:spacing w:line="360" w:lineRule="auto"/>
        <w:ind w:left="0"/>
        <w:jc w:val="both"/>
        <w:rPr>
          <w:rFonts w:ascii="Times New Roman" w:hAnsi="Times New Roman"/>
          <w:color w:val="000000" w:themeColor="text1"/>
        </w:rPr>
      </w:pPr>
      <w:r>
        <w:rPr>
          <w:rFonts w:ascii="Times New Roman" w:hAnsi="Times New Roman"/>
          <w:b/>
          <w:bCs/>
          <w:color w:val="000000" w:themeColor="text1"/>
        </w:rPr>
        <w:t>INTRODUCTION</w:t>
      </w:r>
    </w:p>
    <w:p w14:paraId="0C1EE581" w14:textId="126EB466" w:rsidR="0049430B" w:rsidRPr="00715EF9" w:rsidRDefault="00DA665D" w:rsidP="00875E69">
      <w:pPr>
        <w:pStyle w:val="ListParagraph"/>
        <w:tabs>
          <w:tab w:val="left" w:pos="0"/>
        </w:tabs>
        <w:autoSpaceDE w:val="0"/>
        <w:autoSpaceDN w:val="0"/>
        <w:adjustRightInd w:val="0"/>
        <w:spacing w:line="360" w:lineRule="auto"/>
        <w:ind w:left="0"/>
        <w:jc w:val="both"/>
        <w:rPr>
          <w:rFonts w:ascii="Times New Roman" w:hAnsi="Times New Roman"/>
          <w:color w:val="000000" w:themeColor="text1"/>
        </w:rPr>
      </w:pPr>
      <w:r>
        <w:rPr>
          <w:rFonts w:ascii="Times New Roman" w:hAnsi="Times New Roman"/>
          <w:color w:val="000000" w:themeColor="text1"/>
        </w:rPr>
        <w:tab/>
      </w:r>
      <w:r w:rsidR="005E7C3B" w:rsidRPr="00715EF9">
        <w:rPr>
          <w:rFonts w:ascii="Times New Roman" w:hAnsi="Times New Roman"/>
          <w:color w:val="000000" w:themeColor="text1"/>
        </w:rPr>
        <w:t xml:space="preserve">Diphtheria is one disease that is highly contagious and can be prevented by immunization. </w:t>
      </w:r>
      <w:r w:rsidR="00E64416">
        <w:rPr>
          <w:rFonts w:ascii="Times New Roman" w:hAnsi="Times New Roman"/>
          <w:color w:val="000000" w:themeColor="text1"/>
        </w:rPr>
        <w:t xml:space="preserve">The </w:t>
      </w:r>
      <w:r w:rsidR="005E7C3B" w:rsidRPr="00715EF9">
        <w:rPr>
          <w:rFonts w:ascii="Times New Roman" w:hAnsi="Times New Roman"/>
          <w:color w:val="000000" w:themeColor="text1"/>
        </w:rPr>
        <w:t>causes of this disease are gram-positive bacteria Corynebacterium dip</w:t>
      </w:r>
      <w:r w:rsidR="00E64416">
        <w:rPr>
          <w:rFonts w:ascii="Times New Roman" w:hAnsi="Times New Roman"/>
          <w:color w:val="000000" w:themeColor="text1"/>
        </w:rPr>
        <w:t>htheria</w:t>
      </w:r>
      <w:r w:rsidR="005E7C3B" w:rsidRPr="00715EF9">
        <w:rPr>
          <w:rFonts w:ascii="Times New Roman" w:hAnsi="Times New Roman"/>
          <w:color w:val="000000" w:themeColor="text1"/>
        </w:rPr>
        <w:t xml:space="preserve"> </w:t>
      </w:r>
      <w:r w:rsidR="00E64416">
        <w:rPr>
          <w:rFonts w:ascii="Times New Roman" w:hAnsi="Times New Roman"/>
          <w:color w:val="000000" w:themeColor="text1"/>
        </w:rPr>
        <w:t xml:space="preserve">strain </w:t>
      </w:r>
      <w:r w:rsidR="005E7C3B" w:rsidRPr="00715EF9">
        <w:rPr>
          <w:rFonts w:ascii="Times New Roman" w:hAnsi="Times New Roman"/>
          <w:color w:val="000000" w:themeColor="text1"/>
        </w:rPr>
        <w:t>toxin. The disease is characterized by inflammation at the site of infection but the toxin can cause fatal conditions such as myocarditis, airway obstruction, and multi-organ failure.</w:t>
      </w:r>
      <w:r w:rsidR="00DF08A6">
        <w:rPr>
          <w:rFonts w:ascii="Times New Roman" w:hAnsi="Times New Roman"/>
          <w:color w:val="000000" w:themeColor="text1"/>
        </w:rPr>
        <w:fldChar w:fldCharType="begin" w:fldLock="1"/>
      </w:r>
      <w:r w:rsidR="00DF08A6">
        <w:rPr>
          <w:rFonts w:ascii="Times New Roman" w:hAnsi="Times New Roman"/>
          <w:color w:val="000000" w:themeColor="text1"/>
        </w:rPr>
        <w:instrText>ADDIN CSL_CITATION {"citationItems":[{"id":"ITEM-1","itemData":{"DOI":"10.1097/MD.0000000000005571","ISSN":"15365964","abstract":"© 2016 the Author(s). Vaccination effectiveness is proven when the disease does not develop after a patient is exposed to the pathogen. In the case of rare diseases, vaccination effectiveness is assessed by monitoring specific antibody levels in the population. Such recurrent analyses allow the evaluation of vaccination programs. The primary schedule of diphtheria and tetanus vaccinations is similar in various countries, with differences mainly in the number and timing of booster doses. The aim of the study was to assess diphtheria and tetanus antibody concentrations in a population of healthy children. Diphtheria and tetanus antibody levels were analyzed in a group of 324 children aged 18 to 180 months. All children were vaccinated in accordance with the Polish vaccination schedule. Specific antibody concentrations greater than 0.1IU/mL were considered protective against tetanus or diphtheria. Levels above 1.0 were considered to ensure long-term protection. Protective levels of diphtheria antibodies were found in 229 patients (70.46%), and of tetanus in 306 patients (94.15%). Statistically significant differences were found in tetanus antibody levels in different age groups. Mean concentrations and the percentage of children with high tetanus antibody titers increased with age. No similar correlation was found for diphtheria antibodies. High diphtheria antibody levels co-occurred in 72% of the children with high tetanus antibody levels; 95% of the children with low tetanus antibody levels had low levels of diphtheria antibodies. The percentage of children with protective diphtheria an tibody levels is lower than that in the case of tetanus antibodies, both in Poland and abroad, but the high proportion of children without diphtheria protection in Poland is an exception. This is all the more puzzling when taking into account that Polish children are administered a total of 5 doses containing a high concentration of diphtheria toxoid, at intervals shorter than 5 years. The decrease in antibody titers occurring over time is a significant factor in vaccination program planning. Tetanus antibody concentrations were found to be high, but responses to the diphtheria and tetanus components were divergent. The percentage of children protected against diphtheria was significantly lower than protected against tetanus.","author":[{"dropping-particle":"","family":"Gowin","given":"Ewelina","non-dropping-particle":"","parse-names":false,"suffix":""},{"dropping-particle":"","family":"Wysocki","given":"Jacek","non-dropping-particle":"","parse-names":false,"suffix":""},{"dropping-particle":"","family":"Kaluzna","given":"Ewelina","non-dropping-particle":"","parse-names":false,"suffix":""},{"dropping-particle":"","family":"Swiatek-Koscielna","given":"Bogna","non-dropping-particle":"","parse-names":false,"suffix":""},{"dropping-particle":"","family":"Wysocka-Leszczynska","given":"Joanna","non-dropping-particle":"","parse-names":false,"suffix":""},{"dropping-particle":"","family":"Michalak","given":"Michal","non-dropping-particle":"","parse-names":false,"suffix":""},{"dropping-particle":"","family":"Januszkiewicz-Lewandowska","given":"Danuta","non-dropping-particle":"","parse-names":false,"suffix":""}],"container-title":"Medicine (United States)","id":"ITEM-1","issued":{"date-parts":[["2016"]]},"title":"Does vaccination ensure protection? Assessing diphtheria and tetanus antibody levels in a population of healthy children:A cross-sectional study","type":"article-journal"},"uris":["http://www.mendeley.com/documents/?uuid=29288a39-f836-4f05-b267-bb0435966005"]}],"mendeley":{"formattedCitation":"&lt;sup&gt;1&lt;/sup&gt;","plainTextFormattedCitation":"1","previouslyFormattedCitation":"&lt;sup&gt;1&lt;/sup&gt;"},"properties":{"noteIndex":0},"schema":"https://github.com/citation-style-language/schema/raw/master/csl-citation.json"}</w:instrText>
      </w:r>
      <w:r w:rsidR="00DF08A6">
        <w:rPr>
          <w:rFonts w:ascii="Times New Roman" w:hAnsi="Times New Roman"/>
          <w:color w:val="000000" w:themeColor="text1"/>
        </w:rPr>
        <w:fldChar w:fldCharType="separate"/>
      </w:r>
      <w:r w:rsidR="00DF08A6" w:rsidRPr="00DF08A6">
        <w:rPr>
          <w:rFonts w:ascii="Times New Roman" w:hAnsi="Times New Roman"/>
          <w:noProof/>
          <w:color w:val="000000" w:themeColor="text1"/>
          <w:vertAlign w:val="superscript"/>
        </w:rPr>
        <w:t>1</w:t>
      </w:r>
      <w:r w:rsidR="00DF08A6">
        <w:rPr>
          <w:rFonts w:ascii="Times New Roman" w:hAnsi="Times New Roman"/>
          <w:color w:val="000000" w:themeColor="text1"/>
        </w:rPr>
        <w:fldChar w:fldCharType="end"/>
      </w:r>
      <w:r w:rsidR="00DF08A6">
        <w:rPr>
          <w:rFonts w:ascii="Times New Roman" w:hAnsi="Times New Roman"/>
          <w:color w:val="000000" w:themeColor="text1"/>
          <w:vertAlign w:val="superscript"/>
        </w:rPr>
        <w:t>,</w:t>
      </w:r>
      <w:r w:rsidR="00DF08A6">
        <w:rPr>
          <w:rFonts w:ascii="Times New Roman" w:hAnsi="Times New Roman"/>
          <w:color w:val="000000" w:themeColor="text1"/>
        </w:rPr>
        <w:fldChar w:fldCharType="begin" w:fldLock="1"/>
      </w:r>
      <w:r w:rsidR="00DF08A6">
        <w:rPr>
          <w:rFonts w:ascii="Times New Roman" w:hAnsi="Times New Roman"/>
          <w:color w:val="000000" w:themeColor="text1"/>
        </w:rPr>
        <w:instrText>ADDIN CSL_CITATION {"citationItems":[{"id":"ITEM-1","itemData":{"ISBN":"0031-4005 (Print)\\r0031-4005 (Linking)","PMID":"1196737","abstract":"Meconium ileus represents the earliest clinical manifestation of cystic fibrosis. The differences found in the composition and amount of protein, mucoprotein, mucopolysaccharides, and reducing sugars in meconium from newborns with cystic fibrosis might be of significance relative to the pathogenesis and early diagnosis of this disease. We studied the enzymatic activity of disaccharidases (lactase, sucrase, maltase, and palatinase) in meconium of infants with cystic fibrosis and controls. We found an increase in the specific activity of these enzymes in the meconium from infants with cystic fibrosis as compared to the specific activity in meconium from normal infants. The increase in the activities, expressed as micromols per gram of protein per minute was: lactase, 100 times higher; sucrase, 18 times; maltase, 4.8 times, and palatinase, 8.9 times.","author":[{"dropping-particle":"","family":"Direktorat Surveilans dan Karantina Kesehatan","given":"","non-dropping-particle":"","parse-names":false,"suffix":""}],"id":"ITEM-1","issued":{"date-parts":[["2017"]]},"title":"Pedoman Pencegahan dan Pengendalian Difteri","type":"article-journal"},"uris":["http://www.mendeley.com/documents/?uuid=e060ecb9-0feb-4ff9-831c-9a24012575ce"]}],"mendeley":{"formattedCitation":"&lt;sup&gt;2&lt;/sup&gt;","plainTextFormattedCitation":"2","previouslyFormattedCitation":"&lt;sup&gt;2&lt;/sup&gt;"},"properties":{"noteIndex":0},"schema":"https://github.com/citation-style-language/schema/raw/master/csl-citation.json"}</w:instrText>
      </w:r>
      <w:r w:rsidR="00DF08A6">
        <w:rPr>
          <w:rFonts w:ascii="Times New Roman" w:hAnsi="Times New Roman"/>
          <w:color w:val="000000" w:themeColor="text1"/>
        </w:rPr>
        <w:fldChar w:fldCharType="separate"/>
      </w:r>
      <w:r w:rsidR="00DF08A6" w:rsidRPr="00DF08A6">
        <w:rPr>
          <w:rFonts w:ascii="Times New Roman" w:hAnsi="Times New Roman"/>
          <w:noProof/>
          <w:color w:val="000000" w:themeColor="text1"/>
          <w:vertAlign w:val="superscript"/>
        </w:rPr>
        <w:t>2</w:t>
      </w:r>
      <w:r w:rsidR="00DF08A6">
        <w:rPr>
          <w:rFonts w:ascii="Times New Roman" w:hAnsi="Times New Roman"/>
          <w:color w:val="000000" w:themeColor="text1"/>
        </w:rPr>
        <w:fldChar w:fldCharType="end"/>
      </w:r>
    </w:p>
    <w:p w14:paraId="2C7037E5" w14:textId="7925EB74" w:rsidR="00346DDB" w:rsidRPr="00715EF9" w:rsidRDefault="00B368A0" w:rsidP="00875E69">
      <w:pPr>
        <w:pStyle w:val="ListParagraph"/>
        <w:tabs>
          <w:tab w:val="left" w:pos="0"/>
        </w:tabs>
        <w:autoSpaceDE w:val="0"/>
        <w:autoSpaceDN w:val="0"/>
        <w:adjustRightInd w:val="0"/>
        <w:spacing w:line="360" w:lineRule="auto"/>
        <w:ind w:left="0"/>
        <w:jc w:val="both"/>
        <w:rPr>
          <w:rFonts w:ascii="Times New Roman" w:hAnsi="Times New Roman"/>
          <w:color w:val="000000" w:themeColor="text1"/>
        </w:rPr>
      </w:pPr>
      <w:r>
        <w:rPr>
          <w:rFonts w:ascii="Times New Roman" w:hAnsi="Times New Roman"/>
          <w:color w:val="000000" w:themeColor="text1"/>
        </w:rPr>
        <w:tab/>
      </w:r>
      <w:r w:rsidR="00346DDB" w:rsidRPr="00715EF9">
        <w:rPr>
          <w:rFonts w:ascii="Times New Roman" w:hAnsi="Times New Roman"/>
          <w:color w:val="000000" w:themeColor="text1"/>
        </w:rPr>
        <w:t>The incidence of diphtheria cases in Indonesia increased in 2017, from January to November was recorded 954 cases, 44 deaths in 95 counties and cities with Case Fatality Rate (CFR) of 4.61%. Currently</w:t>
      </w:r>
      <w:r w:rsidR="00E64416">
        <w:rPr>
          <w:rFonts w:ascii="Times New Roman" w:hAnsi="Times New Roman"/>
          <w:color w:val="000000" w:themeColor="text1"/>
        </w:rPr>
        <w:t>,</w:t>
      </w:r>
      <w:r w:rsidR="00346DDB" w:rsidRPr="00715EF9">
        <w:rPr>
          <w:rFonts w:ascii="Times New Roman" w:hAnsi="Times New Roman"/>
          <w:color w:val="000000" w:themeColor="text1"/>
        </w:rPr>
        <w:t xml:space="preserve"> the case of diphtheria in Indonesia began to shift to an older age group.</w:t>
      </w:r>
      <w:r w:rsidR="00DF08A6">
        <w:rPr>
          <w:rFonts w:ascii="Times New Roman" w:hAnsi="Times New Roman"/>
          <w:color w:val="000000" w:themeColor="text1"/>
        </w:rPr>
        <w:fldChar w:fldCharType="begin" w:fldLock="1"/>
      </w:r>
      <w:r w:rsidR="00DF08A6">
        <w:rPr>
          <w:rFonts w:ascii="Times New Roman" w:hAnsi="Times New Roman"/>
          <w:color w:val="000000" w:themeColor="text1"/>
        </w:rPr>
        <w:instrText>ADDIN CSL_CITATION {"citationItems":[{"id":"ITEM-1","itemData":{"DOI":"10.1097/MD.0000000000005571","ISSN":"15365964","abstract":"© 2016 the Author(s). Vaccination effectiveness is proven when the disease does not develop after a patient is exposed to the pathogen. In the case of rare diseases, vaccination effectiveness is assessed by monitoring specific antibody levels in the population. Such recurrent analyses allow the evaluation of vaccination programs. The primary schedule of diphtheria and tetanus vaccinations is similar in various countries, with differences mainly in the number and timing of booster doses. The aim of the study was to assess diphtheria and tetanus antibody concentrations in a population of healthy children. Diphtheria and tetanus antibody levels were analyzed in a group of 324 children aged 18 to 180 months. All children were vaccinated in accordance with the Polish vaccination schedule. Specific antibody concentrations greater than 0.1IU/mL were considered protective against tetanus or diphtheria. Levels above 1.0 were considered to ensure long-term protection. Protective levels of diphtheria antibodies were found in 229 patients (70.46%), and of tetanus in 306 patients (94.15%). Statistically significant differences were found in tetanus antibody levels in different age groups. Mean concentrations and the percentage of children with high tetanus antibody titers increased with age. No similar correlation was found for diphtheria antibodies. High diphtheria antibody levels co-occurred in 72% of the children with high tetanus antibody levels; 95% of the children with low tetanus antibody levels had low levels of diphtheria antibodies. The percentage of children with protective diphtheria an tibody levels is lower than that in the case of tetanus antibodies, both in Poland and abroad, but the high proportion of children without diphtheria protection in Poland is an exception. This is all the more puzzling when taking into account that Polish children are administered a total of 5 doses containing a high concentration of diphtheria toxoid, at intervals shorter than 5 years. The decrease in antibody titers occurring over time is a significant factor in vaccination program planning. Tetanus antibody concentrations were found to be high, but responses to the diphtheria and tetanus components were divergent. The percentage of children protected against diphtheria was significantly lower than protected against tetanus.","author":[{"dropping-particle":"","family":"Gowin","given":"Ewelina","non-dropping-particle":"","parse-names":false,"suffix":""},{"dropping-particle":"","family":"Wysocki","given":"Jacek","non-dropping-particle":"","parse-names":false,"suffix":""},{"dropping-particle":"","family":"Kaluzna","given":"Ewelina","non-dropping-particle":"","parse-names":false,"suffix":""},{"dropping-particle":"","family":"Swiatek-Koscielna","given":"Bogna","non-dropping-particle":"","parse-names":false,"suffix":""},{"dropping-particle":"","family":"Wysocka-Leszczynska","given":"Joanna","non-dropping-particle":"","parse-names":false,"suffix":""},{"dropping-particle":"","family":"Michalak","given":"Michal","non-dropping-particle":"","parse-names":false,"suffix":""},{"dropping-particle":"","family":"Januszkiewicz-Lewandowska","given":"Danuta","non-dropping-particle":"","parse-names":false,"suffix":""}],"container-title":"Medicine (United States)","id":"ITEM-1","issued":{"date-parts":[["2016"]]},"title":"Does vaccination ensure protection? Assessing diphtheria and tetanus antibody levels in a population of healthy children:A cross-sectional study","type":"article-journal"},"uris":["http://www.mendeley.com/documents/?uuid=29288a39-f836-4f05-b267-bb0435966005"]},{"id":"ITEM-2","itemData":{"ISSN":"00039985","abstract":"Emerging and reemerging infections are attracting greater attention from the public health and medical communities. Pathologists and other physicians are increasingly aware of the importance of the subspecialty of infectious disease pathology as a tool for diagnosis, surveillance, and research of emerging infections. In this communication, we describe the role that infectious disease pathologists have played during the last 2 years in broadening our understanding of selected emerging infections, including such examples as new variant Creutzfeldt-Jakob disease and bovine spongiform encephalopathy, leptospirosis, microsporidiosis, Ebola hemorrhagic fever, and cyclosporiasis. The significance of providing pathology services, especially the autopsy, to patients with potentially hazardous communicable diseases is discussed with the supposition that it is unethical to exclude or withhold health care from a patient based on his or her underlying disease or on risk factors for acquiring a disease. The increasing occurrence of infectious diseases imported into the United States and other nations, including human immunodeficiency virus-1 group O, dengue fever, tuberculosis, malaria, diphtheria and cholera in immigrants and travelers, and Ebola virus in nonhuman primates, emphasizes the necessity for pathologists of having competence with infectious disease pathology. It is critical that new generations of pathologists not only be trained in the subspecialty of infectious disease pathology, but that they also be willing participants in the diagnosis and investigation of infectious diseases. The lack of training programs for infectious disease pathologists, as well as the deficiency in infectious disease pathology support for ongoing and future epidemiologic investigations and research, has led to the broadening of pathology services and initiation of a dedicated section of Infectious Disease Pathology at one of the nation's premier public health institutions, the Centers for Disease Control and Prevention in Atlanta, Ga. Together with preexisting groups of medical and veterinary infectious disease pathologists at universities, the Armed Forces Institute of Pathology, the US Army Medical Research Institute of Infectious Diseases, and the National Institutes of Health, this new program will significantly strengthen the capability of the United States to respond to future challenges of emerging and reemerging infections, both in this country and abroad.","author":[{"dropping-particle":"","family":"Schwartz","given":"David A.","non-dropping-particle":"","parse-names":false,"suffix":""}],"container-title":"Archives of Pathology and Laboratory Medicine","id":"ITEM-2","issued":{"date-parts":[["1997"]]},"title":"Emerging and reemerging infections: Progress and challenges in the subspecialty of infectious disease pathology","type":"article"},"uris":["http://www.mendeley.com/documents/?uuid=c1ae17e9-5fb6-4aa0-ba1a-a3964bcc289a"]},{"id":"ITEM-3","itemData":{"DOI":"10.3201/eid0404.980404","ISSN":"10806040","abstract":"The massive reemergence of diphtheria in the Newly Independent States of the former Soviet Union marked the first large-scale diphtheria epidemic in industrialized countries in 3 decades. Factors contributing to the epidemic included a large population of susceptible adults; decreased childhood immunization, which compromised what had been a well-established childhood vaccination program; suboptimal socioeconomic conditions; and high population movement. The role of a change in the predominant circulating strains of Corynebacterium diphtheriae in this epidemic remains uncertain. Massive, well-coordinated international assistance and unprecedented efforts to vaccinate adults were needed to control the epidemic.","author":[{"dropping-particle":"","family":"Vitek","given":"Charles R.","non-dropping-particle":"","parse-names":false,"suffix":""},{"dropping-particle":"","family":"Wharton","given":"Melinda","non-dropping-particle":"","parse-names":false,"suffix":""}],"container-title":"Emerging Infectious Diseases","id":"ITEM-3","issued":{"date-parts":[["1998"]]},"title":"Diphtheria in the former Soviet Union: Reemergence of a pandemic disease","type":"article"},"uris":["http://www.mendeley.com/documents/?uuid=777f2d5d-4074-4b44-b74c-1986a3122b87"]}],"mendeley":{"formattedCitation":"&lt;sup&gt;1,3,4&lt;/sup&gt;","plainTextFormattedCitation":"1,3,4","previouslyFormattedCitation":"&lt;sup&gt;1,3,4&lt;/sup&gt;"},"properties":{"noteIndex":0},"schema":"https://github.com/citation-style-language/schema/raw/master/csl-citation.json"}</w:instrText>
      </w:r>
      <w:r w:rsidR="00DF08A6">
        <w:rPr>
          <w:rFonts w:ascii="Times New Roman" w:hAnsi="Times New Roman"/>
          <w:color w:val="000000" w:themeColor="text1"/>
        </w:rPr>
        <w:fldChar w:fldCharType="separate"/>
      </w:r>
      <w:r w:rsidR="00DF08A6" w:rsidRPr="00DF08A6">
        <w:rPr>
          <w:rFonts w:ascii="Times New Roman" w:hAnsi="Times New Roman"/>
          <w:noProof/>
          <w:color w:val="000000" w:themeColor="text1"/>
          <w:vertAlign w:val="superscript"/>
        </w:rPr>
        <w:t>1,3,4</w:t>
      </w:r>
      <w:r w:rsidR="00DF08A6">
        <w:rPr>
          <w:rFonts w:ascii="Times New Roman" w:hAnsi="Times New Roman"/>
          <w:color w:val="000000" w:themeColor="text1"/>
        </w:rPr>
        <w:fldChar w:fldCharType="end"/>
      </w:r>
      <w:r w:rsidR="00E64416">
        <w:rPr>
          <w:rFonts w:ascii="Times New Roman" w:hAnsi="Times New Roman"/>
          <w:color w:val="000000" w:themeColor="text1"/>
        </w:rPr>
        <w:t xml:space="preserve"> In </w:t>
      </w:r>
      <w:r w:rsidR="00725276">
        <w:rPr>
          <w:rFonts w:ascii="Times New Roman" w:hAnsi="Times New Roman"/>
          <w:color w:val="000000" w:themeColor="text1"/>
        </w:rPr>
        <w:t xml:space="preserve">Hasan </w:t>
      </w:r>
      <w:proofErr w:type="spellStart"/>
      <w:r w:rsidR="00725276">
        <w:rPr>
          <w:rFonts w:ascii="Times New Roman" w:hAnsi="Times New Roman"/>
          <w:color w:val="000000" w:themeColor="text1"/>
        </w:rPr>
        <w:t>Sadikin</w:t>
      </w:r>
      <w:proofErr w:type="spellEnd"/>
      <w:r w:rsidR="00725276">
        <w:rPr>
          <w:rFonts w:ascii="Times New Roman" w:hAnsi="Times New Roman"/>
          <w:color w:val="000000" w:themeColor="text1"/>
        </w:rPr>
        <w:t xml:space="preserve"> Hospital there were 112 cases of diphtheria, 54 cases (48%) of whom were adults with a mean age of 35 years and 3 months. Most incidence of diphtheria originating from Bandung district and several districts in West Java and Bandung City.</w:t>
      </w:r>
      <w:r w:rsidR="00DF08A6">
        <w:rPr>
          <w:rFonts w:ascii="Times New Roman" w:hAnsi="Times New Roman"/>
          <w:color w:val="000000" w:themeColor="text1"/>
        </w:rPr>
        <w:fldChar w:fldCharType="begin" w:fldLock="1"/>
      </w:r>
      <w:r w:rsidR="00DF08A6">
        <w:rPr>
          <w:rFonts w:ascii="Times New Roman" w:hAnsi="Times New Roman"/>
          <w:color w:val="000000" w:themeColor="text1"/>
        </w:rPr>
        <w:instrText>ADDIN CSL_CITATION {"citationItems":[{"id":"ITEM-1","itemData":{"DOI":"10.14238/sp15.3.2013.141-9","ISSN":"0854-7823","abstract":"Latar belakang. Di Indonesia berpotensi terjadi reemerging disease difteri akibat belum ada program imunisasi ulang yang berkesinambungan pada remaja.Tujuan. Menilai imunogenisitas dan keamanan vaksin tetanus difteri (Td) yang diberikan sebagai imunisasi ulang pada remaja.Metode. Uji klinis randomized double-blind controlled dilakukan terhadap 296 pelajar remaja sehat di kota Bandung, usia 10–18 tahun, pada September 2007–September 2008. Didapatkan 296 remaja sebagai subjek penelitian, dibagi dalam 2 kelompok secara acak sederhana. Kelompok I mendapat vaksin Td 0,5 mL intramuskular. Kelompok II mendapat vaksin TT sebagai kontrol. Pemeriksaan kadar antibodi anti difteri dan anti tetanus dilakukan sebelum dan 1 bulan setelah imunisasi menggunakan teknik enzyme-linked immunosorbent assays (ELISAs). Data keamanan dikumpulkan sampai 1 bulan pasca imunisasi menggunakan buku harianHasil. Konsentrasi antibodi seroproteksi (&gt;0,1 IU/mL) terhadap difteri dan tetanus mencapai 93,2% dan 100,0%. The geometric mean titer (GMT) terhadap difteri meningkat dari 0,0618 IU/mL menjadi 0,7583 IU/mL (p&lt;0,001), dan terhadap tetanus meningkat dari 0,4413 IU/mL ke 14,4054 IU/mL (p&lt;0,001). Nyeri pada tempat suntikan terjadi pada 20,3% kelompok Td dan 18,2% pada TT (p=0,028). Demam &gt;37,5°C hanya terjadi pada sedikit subjek dari kedua kelompok (rentang Td: 0,7-4,7%; rentang TT: 3,4–6,7%). Tidak terdapat reaksi kejadian ikutan pasca imunisasi serius dan dapat ditoleransi dengan baik.Kesimpulan. Imunisasi ulang Td meningkatkan kadar antibodi protektif terhadap difteri dan tetanus, serta aman diberikan pada remaja.","author":[{"dropping-particle":"","family":"Fadlyana","given":"Eddy","non-dropping-particle":"","parse-names":false,"suffix":""},{"dropping-particle":"","family":"Rusmil","given":"Kusnandi","non-dropping-particle":"","parse-names":false,"suffix":""},{"dropping-particle":"","family":"Garna","given":"Herry","non-dropping-particle":"","parse-names":false,"suffix":""},{"dropping-particle":"","family":"Sumarman","given":"Iwin","non-dropping-particle":"","parse-names":false,"suffix":""},{"dropping-particle":"","family":"Adi","given":"Soenarjati Soedigo","non-dropping-particle":"","parse-names":false,"suffix":""},{"dropping-particle":"","family":"Bachtiar","given":"Novilia Sjafri","non-dropping-particle":"","parse-names":false,"suffix":""}],"container-title":"Sari Pediatri","id":"ITEM-1","issued":{"date-parts":[["2016"]]},"title":"Imunogenisitas dan Keamanan vaksin Tetanus Difteri (Td) pada Remaja sebagai salah satu upaya mencegah Reemerging Disease di Indonesia","type":"article-journal"},"uris":["http://www.mendeley.com/documents/?uuid=afae7326-d3f6-4b2c-97db-1e1706aded48"]},{"id":"ITEM-2","itemData":{"id":"ITEM-2","issued":{"date-parts":[["0"]]},"title":"Laporan angka kejadian difteri di RSHS OKtober 2017 - Januari 2018","type":"article-journal"},"uris":["http://www.mendeley.com/documents/?uuid=6025be3e-f049-49cc-84b9-f7513a27956a"]}],"mendeley":{"formattedCitation":"&lt;sup&gt;5,6&lt;/sup&gt;","plainTextFormattedCitation":"5,6","previouslyFormattedCitation":"&lt;sup&gt;5,6&lt;/sup&gt;"},"properties":{"noteIndex":0},"schema":"https://github.com/citation-style-language/schema/raw/master/csl-citation.json"}</w:instrText>
      </w:r>
      <w:r w:rsidR="00DF08A6">
        <w:rPr>
          <w:rFonts w:ascii="Times New Roman" w:hAnsi="Times New Roman"/>
          <w:color w:val="000000" w:themeColor="text1"/>
        </w:rPr>
        <w:fldChar w:fldCharType="separate"/>
      </w:r>
      <w:r w:rsidR="00DF08A6" w:rsidRPr="00DF08A6">
        <w:rPr>
          <w:rFonts w:ascii="Times New Roman" w:hAnsi="Times New Roman"/>
          <w:noProof/>
          <w:color w:val="000000" w:themeColor="text1"/>
          <w:vertAlign w:val="superscript"/>
        </w:rPr>
        <w:t>5.6</w:t>
      </w:r>
      <w:r w:rsidR="00DF08A6">
        <w:rPr>
          <w:rFonts w:ascii="Times New Roman" w:hAnsi="Times New Roman"/>
          <w:color w:val="000000" w:themeColor="text1"/>
        </w:rPr>
        <w:fldChar w:fldCharType="end"/>
      </w:r>
      <w:r w:rsidR="00346DD9" w:rsidRPr="00715EF9">
        <w:rPr>
          <w:rFonts w:ascii="Times New Roman" w:hAnsi="Times New Roman"/>
          <w:color w:val="000000" w:themeColor="text1"/>
        </w:rPr>
        <w:t xml:space="preserve"> </w:t>
      </w:r>
    </w:p>
    <w:p w14:paraId="159509E2" w14:textId="4B2B0630" w:rsidR="008A00F5" w:rsidRPr="00715EF9" w:rsidRDefault="00B368A0" w:rsidP="00875E69">
      <w:pPr>
        <w:pStyle w:val="ListParagraph"/>
        <w:tabs>
          <w:tab w:val="left" w:pos="0"/>
        </w:tabs>
        <w:autoSpaceDE w:val="0"/>
        <w:autoSpaceDN w:val="0"/>
        <w:adjustRightInd w:val="0"/>
        <w:spacing w:line="360" w:lineRule="auto"/>
        <w:ind w:left="0"/>
        <w:jc w:val="both"/>
        <w:rPr>
          <w:rFonts w:ascii="Times New Roman" w:hAnsi="Times New Roman"/>
          <w:color w:val="000000" w:themeColor="text1"/>
        </w:rPr>
      </w:pPr>
      <w:r>
        <w:rPr>
          <w:rFonts w:ascii="Times New Roman" w:hAnsi="Times New Roman"/>
          <w:color w:val="000000" w:themeColor="text1"/>
        </w:rPr>
        <w:tab/>
      </w:r>
      <w:r w:rsidR="00FF702B">
        <w:rPr>
          <w:rFonts w:ascii="Times New Roman" w:hAnsi="Times New Roman"/>
          <w:color w:val="000000" w:themeColor="text1"/>
        </w:rPr>
        <w:t xml:space="preserve">In recent years, cases of Genesis </w:t>
      </w:r>
      <w:proofErr w:type="spellStart"/>
      <w:r w:rsidR="00FF702B">
        <w:rPr>
          <w:rFonts w:ascii="Times New Roman" w:hAnsi="Times New Roman"/>
          <w:color w:val="000000" w:themeColor="text1"/>
        </w:rPr>
        <w:t>Followup</w:t>
      </w:r>
      <w:proofErr w:type="spellEnd"/>
      <w:r w:rsidR="00FF702B">
        <w:rPr>
          <w:rFonts w:ascii="Times New Roman" w:hAnsi="Times New Roman"/>
          <w:color w:val="000000" w:themeColor="text1"/>
        </w:rPr>
        <w:t xml:space="preserve"> Post-immunization (</w:t>
      </w:r>
      <w:proofErr w:type="spellStart"/>
      <w:r w:rsidR="00FF702B">
        <w:rPr>
          <w:rFonts w:ascii="Times New Roman" w:hAnsi="Times New Roman"/>
          <w:color w:val="000000" w:themeColor="text1"/>
        </w:rPr>
        <w:t>Kipi</w:t>
      </w:r>
      <w:proofErr w:type="spellEnd"/>
      <w:r w:rsidR="00FF702B">
        <w:rPr>
          <w:rFonts w:ascii="Times New Roman" w:hAnsi="Times New Roman"/>
          <w:color w:val="000000" w:themeColor="text1"/>
        </w:rPr>
        <w:t>) weight that occurs after immunization with diphtheria, became one of the causes fear among the people to carry out immunization, resulted in the implementation of immunization programs on an ongoing basis and lower herd immunity which eventually resulted in diphtheria be Extraordinary Events (KLB) back.</w:t>
      </w:r>
      <w:r w:rsidR="00DF08A6">
        <w:rPr>
          <w:rFonts w:ascii="Times New Roman" w:hAnsi="Times New Roman"/>
          <w:color w:val="000000" w:themeColor="text1"/>
        </w:rPr>
        <w:fldChar w:fldCharType="begin" w:fldLock="1"/>
      </w:r>
      <w:r w:rsidR="00DF08A6">
        <w:rPr>
          <w:rFonts w:ascii="Times New Roman" w:hAnsi="Times New Roman"/>
          <w:color w:val="000000" w:themeColor="text1"/>
        </w:rPr>
        <w:instrText>ADDIN CSL_CITATION {"citationItems":[{"id":"ITEM-1","itemData":{"DOI":"10.1097/MD.0000000000005571","ISSN":"15365964","abstract":"© 2016 the Author(s). Vaccination effectiveness is proven when the disease does not develop after a patient is exposed to the pathogen. In the case of rare diseases, vaccination effectiveness is assessed by monitoring specific antibody levels in the population. Such recurrent analyses allow the evaluation of vaccination programs. The primary schedule of diphtheria and tetanus vaccinations is similar in various countries, with differences mainly in the number and timing of booster doses. The aim of the study was to assess diphtheria and tetanus antibody concentrations in a population of healthy children. Diphtheria and tetanus antibody levels were analyzed in a group of 324 children aged 18 to 180 months. All children were vaccinated in accordance with the Polish vaccination schedule. Specific antibody concentrations greater than 0.1IU/mL were considered protective against tetanus or diphtheria. Levels above 1.0 were considered to ensure long-term protection. Protective levels of diphtheria antibodies were found in 229 patients (70.46%), and of tetanus in 306 patients (94.15%). Statistically significant differences were found in tetanus antibody levels in different age groups. Mean concentrations and the percentage of children with high tetanus antibody titers increased with age. No similar correlation was found for diphtheria antibodies. High diphtheria antibody levels co-occurred in 72% of the children with high tetanus antibody levels; 95% of the children with low tetanus antibody levels had low levels of diphtheria antibodies. The percentage of children with protective diphtheria an tibody levels is lower than that in the case of tetanus antibodies, both in Poland and abroad, but the high proportion of children without diphtheria protection in Poland is an exception. This is all the more puzzling when taking into account that Polish children are administered a total of 5 doses containing a high concentration of diphtheria toxoid, at intervals shorter than 5 years. The decrease in antibody titers occurring over time is a significant factor in vaccination program planning. Tetanus antibody concentrations were found to be high, but responses to the diphtheria and tetanus components were divergent. The percentage of children protected against diphtheria was significantly lower than protected against tetanus.","author":[{"dropping-particle":"","family":"Gowin","given":"Ewelina","non-dropping-particle":"","parse-names":false,"suffix":""},{"dropping-particle":"","family":"Wysocki","given":"Jacek","non-dropping-particle":"","parse-names":false,"suffix":""},{"dropping-particle":"","family":"Kaluzna","given":"Ewelina","non-dropping-particle":"","parse-names":false,"suffix":""},{"dropping-particle":"","family":"Swiatek-Koscielna","given":"Bogna","non-dropping-particle":"","parse-names":false,"suffix":""},{"dropping-particle":"","family":"Wysocka-Leszczynska","given":"Joanna","non-dropping-particle":"","parse-names":false,"suffix":""},{"dropping-particle":"","family":"Michalak","given":"Michal","non-dropping-particle":"","parse-names":false,"suffix":""},{"dropping-particle":"","family":"Januszkiewicz-Lewandowska","given":"Danuta","non-dropping-particle":"","parse-names":false,"suffix":""}],"container-title":"Medicine (United States)","id":"ITEM-1","issued":{"date-parts":[["2016"]]},"title":"Does vaccination ensure protection? Assessing diphtheria and tetanus antibody levels in a population of healthy children:A cross-sectional study","type":"article-journal"},"uris":["http://www.mendeley.com/documents/?uuid=29288a39-f836-4f05-b267-bb0435966005"]},{"id":"ITEM-2","itemData":{"ISBN":"0031-4005 (Print)\\r0031-4005 (Linking)","PMID":"1196737","abstract":"Meconium ileus represents the earliest clinical manifestation of cystic fibrosis. The differences found in the composition and amount of protein, mucoprotein, mucopolysaccharides, and reducing sugars in meconium from newborns with cystic fibrosis might be of significance relative to the pathogenesis and early diagnosis of this disease. We studied the enzymatic activity of disaccharidases (lactase, sucrase, maltase, and palatinase) in meconium of infants with cystic fibrosis and controls. We found an increase in the specific activity of these enzymes in the meconium from infants with cystic fibrosis as compared to the specific activity in meconium from normal infants. The increase in the activities, expressed as micromols per gram of protein per minute was: lactase, 100 times higher; sucrase, 18 times; maltase, 4.8 times, and palatinase, 8.9 times.","author":[{"dropping-particle":"","family":"Direktorat Surveilans dan Karantina Kesehatan","given":"","non-dropping-particle":"","parse-names":false,"suffix":""}],"id":"ITEM-2","issued":{"date-parts":[["2017"]]},"title":"Pedoman Pencegahan dan Pengendalian Difteri","type":"article-journal"},"uris":["http://www.mendeley.com/documents/?uuid=e060ecb9-0feb-4ff9-831c-9a24012575ce"]}],"mendeley":{"formattedCitation":"&lt;sup&gt;1,2&lt;/sup&gt;","plainTextFormattedCitation":"1,2","previouslyFormattedCitation":"&lt;sup&gt;1,2&lt;/sup&gt;"},"properties":{"noteIndex":0},"schema":"https://github.com/citation-style-language/schema/raw/master/csl-citation.json"}</w:instrText>
      </w:r>
      <w:r w:rsidR="00DF08A6">
        <w:rPr>
          <w:rFonts w:ascii="Times New Roman" w:hAnsi="Times New Roman"/>
          <w:color w:val="000000" w:themeColor="text1"/>
        </w:rPr>
        <w:fldChar w:fldCharType="separate"/>
      </w:r>
      <w:r w:rsidR="00DF08A6" w:rsidRPr="00DF08A6">
        <w:rPr>
          <w:rFonts w:ascii="Times New Roman" w:hAnsi="Times New Roman"/>
          <w:noProof/>
          <w:color w:val="000000" w:themeColor="text1"/>
          <w:vertAlign w:val="superscript"/>
        </w:rPr>
        <w:t>1.2</w:t>
      </w:r>
      <w:r w:rsidR="00DF08A6">
        <w:rPr>
          <w:rFonts w:ascii="Times New Roman" w:hAnsi="Times New Roman"/>
          <w:color w:val="000000" w:themeColor="text1"/>
        </w:rPr>
        <w:fldChar w:fldCharType="end"/>
      </w:r>
      <w:r w:rsidR="00346DD9" w:rsidRPr="00715EF9">
        <w:rPr>
          <w:rFonts w:ascii="Times New Roman" w:hAnsi="Times New Roman"/>
          <w:color w:val="000000" w:themeColor="text1"/>
        </w:rPr>
        <w:t xml:space="preserve"> </w:t>
      </w:r>
    </w:p>
    <w:p w14:paraId="58469ABE" w14:textId="41B216C7" w:rsidR="003F6DD8" w:rsidRDefault="00346DDB" w:rsidP="00875E69">
      <w:pPr>
        <w:pStyle w:val="ListParagraph"/>
        <w:tabs>
          <w:tab w:val="left" w:pos="0"/>
        </w:tabs>
        <w:autoSpaceDE w:val="0"/>
        <w:autoSpaceDN w:val="0"/>
        <w:adjustRightInd w:val="0"/>
        <w:spacing w:line="360" w:lineRule="auto"/>
        <w:ind w:left="0"/>
        <w:jc w:val="both"/>
        <w:rPr>
          <w:rFonts w:ascii="Times New Roman" w:hAnsi="Times New Roman"/>
          <w:color w:val="000000" w:themeColor="text1"/>
        </w:rPr>
      </w:pPr>
      <w:r>
        <w:rPr>
          <w:rFonts w:ascii="Times New Roman" w:hAnsi="Times New Roman"/>
          <w:color w:val="000000" w:themeColor="text1"/>
        </w:rPr>
        <w:tab/>
      </w:r>
      <w:r w:rsidR="0047482B" w:rsidRPr="00715EF9">
        <w:rPr>
          <w:rFonts w:ascii="Times New Roman" w:hAnsi="Times New Roman"/>
          <w:color w:val="000000" w:themeColor="text1"/>
        </w:rPr>
        <w:t xml:space="preserve">The development of immunization in adults not as good as the development of child immunization, according to the American Society of Internal Medicine immunization of adults can prevent the death of 10-fold compared to children. Adult immunizations should consider the immune response may be different </w:t>
      </w:r>
      <w:r w:rsidR="00E64416">
        <w:rPr>
          <w:rFonts w:ascii="Times New Roman" w:hAnsi="Times New Roman"/>
          <w:color w:val="000000" w:themeColor="text1"/>
        </w:rPr>
        <w:t>from</w:t>
      </w:r>
      <w:r w:rsidR="0047482B" w:rsidRPr="00715EF9">
        <w:rPr>
          <w:rFonts w:ascii="Times New Roman" w:hAnsi="Times New Roman"/>
          <w:color w:val="000000" w:themeColor="text1"/>
        </w:rPr>
        <w:t xml:space="preserve"> children, co-occurring post-immunization and their natural exposure in adults. These things will affect the immune response to vaccinations given to adults.</w:t>
      </w:r>
      <w:r w:rsidR="00DF08A6">
        <w:rPr>
          <w:rFonts w:ascii="Times New Roman" w:hAnsi="Times New Roman"/>
          <w:color w:val="000000" w:themeColor="text1"/>
        </w:rPr>
        <w:fldChar w:fldCharType="begin" w:fldLock="1"/>
      </w:r>
      <w:r w:rsidR="00DF08A6">
        <w:rPr>
          <w:rFonts w:ascii="Times New Roman" w:hAnsi="Times New Roman"/>
          <w:color w:val="000000" w:themeColor="text1"/>
        </w:rPr>
        <w:instrText>ADDIN CSL_CITATION {"citationItems":[{"id":"ITEM-1","itemData":{"DOI":"10.1016/B978-1-4377-2702-9.00132-X","ISBN":"9781437720594","ISSN":"0022-1724","PMID":"16560384","abstract":"Diphtheria 107 7 Diphtheria is an acute, toxin-mediated disease caused by the bacterium Corynebacterium diphtheriae. The name of the disease is derived from the Greek diphthera, meaning leather hide. The disease was described in the 5th century BCE by Hippocrates, and epidemics were described in the 6th century AD by Aetius. The bacterium was first observed in diphtheritic membranes by Klebs in 1883 and cultivated by Löffler in 1884. Antitoxin was invented in the late 19th century, and toxoid was developed in the 1920s. Corynebacterium diphtheriae C. diphtheriae is an aerobic gram-positive bacillus. Toxin production (toxigenicity) occurs only when the bacillus is itself infected (lysogenized) by a specific virus (bacterio-phage) carrying the genetic information for the toxin (tox gene). Only toxigenic strains can cause severe disease. Culture of the organism requires selective media containing tellurite. If isolated, the organism must be distinguished in the laboratory from other Corynebacterium species that normally inhabit the nasopharynx and skin (e.g., diphthe-roids). C. diphtheriae has four biotypes—gravis, intermedius, mitis and belfanti. All strains may produce toxin and can cause severe disease. All isolates of C. diphtheriae should be tested for toxigenicity. Pathogenesis Susceptible persons may acquire toxigenic diphtheria bacilli in the nasopharynx. The organism produces a toxin that inhibits cellular protein synthesis and is responsible for local tissue destruction and pseudomembrane formation. The toxin produced at the site of the membrane is absorbed into the bloodstream and then distributed to the tissues of the body. The toxin is responsible for the major complica-tions of myocarditis and neuritis and can also cause low platelet counts (thrombocytopenia) and protein in the urine (proteinuria). Non-toxin producing strains may cause mild to moderate pharyngitis but are not associated with formation of a pseu-domembrane. While rare severe cases have been reported, these may actually have been caused by toxigenic strains that were not detected because of inadequate culture sampling.","author":[{"dropping-particle":"","family":"CDC","given":"","non-dropping-particle":"","parse-names":false,"suffix":""}],"container-title":"The Cable","id":"ITEM-1","issued":{"date-parts":[["2017"]]},"page":"1-8","title":"Immunology and Vaccine-Preventable Diseases – Pink Book - Diphtheria","type":"article-journal"},"uris":["http://www.mendeley.com/documents/?uuid=a660fd48-f97e-4d53-a0ff-3f3a734fecb1"]}],"mendeley":{"formattedCitation":"&lt;sup&gt;7&lt;/sup&gt;","plainTextFormattedCitation":"7","previouslyFormattedCitation":"&lt;sup&gt;7&lt;/sup&gt;"},"properties":{"noteIndex":0},"schema":"https://github.com/citation-style-language/schema/raw/master/csl-citation.json"}</w:instrText>
      </w:r>
      <w:r w:rsidR="00DF08A6">
        <w:rPr>
          <w:rFonts w:ascii="Times New Roman" w:hAnsi="Times New Roman"/>
          <w:color w:val="000000" w:themeColor="text1"/>
        </w:rPr>
        <w:fldChar w:fldCharType="separate"/>
      </w:r>
      <w:r w:rsidR="00DF08A6" w:rsidRPr="00DF08A6">
        <w:rPr>
          <w:rFonts w:ascii="Times New Roman" w:hAnsi="Times New Roman"/>
          <w:noProof/>
          <w:color w:val="000000" w:themeColor="text1"/>
          <w:vertAlign w:val="superscript"/>
        </w:rPr>
        <w:t>7</w:t>
      </w:r>
      <w:r w:rsidR="00DF08A6">
        <w:rPr>
          <w:rFonts w:ascii="Times New Roman" w:hAnsi="Times New Roman"/>
          <w:color w:val="000000" w:themeColor="text1"/>
        </w:rPr>
        <w:fldChar w:fldCharType="end"/>
      </w:r>
    </w:p>
    <w:p w14:paraId="58A8311D" w14:textId="471BB9AB" w:rsidR="002A03E4" w:rsidRDefault="003F6DD8" w:rsidP="00875E69">
      <w:pPr>
        <w:pStyle w:val="ListParagraph"/>
        <w:tabs>
          <w:tab w:val="left" w:pos="0"/>
        </w:tabs>
        <w:autoSpaceDE w:val="0"/>
        <w:autoSpaceDN w:val="0"/>
        <w:adjustRightInd w:val="0"/>
        <w:spacing w:line="360" w:lineRule="auto"/>
        <w:ind w:left="0"/>
        <w:jc w:val="both"/>
        <w:rPr>
          <w:rFonts w:ascii="Times New Roman" w:hAnsi="Times New Roman"/>
          <w:color w:val="000000" w:themeColor="text1"/>
        </w:rPr>
      </w:pPr>
      <w:r>
        <w:rPr>
          <w:rFonts w:ascii="Times New Roman" w:hAnsi="Times New Roman"/>
          <w:color w:val="000000" w:themeColor="text1"/>
        </w:rPr>
        <w:tab/>
        <w:t>In Indonesia</w:t>
      </w:r>
      <w:r w:rsidR="00881594">
        <w:rPr>
          <w:rFonts w:ascii="Times New Roman" w:hAnsi="Times New Roman"/>
          <w:color w:val="000000" w:themeColor="text1"/>
          <w:lang w:val="id-ID"/>
        </w:rPr>
        <w:t xml:space="preserve">, </w:t>
      </w:r>
      <w:r w:rsidR="0047482B" w:rsidRPr="00715EF9">
        <w:rPr>
          <w:rFonts w:ascii="Times New Roman" w:hAnsi="Times New Roman"/>
          <w:color w:val="000000" w:themeColor="text1"/>
        </w:rPr>
        <w:t xml:space="preserve">diphtheria performed as recommended by the World Health Organization (WHO) is the basic immunization 3 times, followed by a repeat immunization (booster) 4 times to maintain immunity into adulthood. </w:t>
      </w:r>
      <w:r w:rsidR="00573B31">
        <w:rPr>
          <w:rFonts w:ascii="Times New Roman" w:hAnsi="Times New Roman"/>
          <w:color w:val="000000" w:themeColor="text1"/>
          <w:lang w:val="id-ID"/>
        </w:rPr>
        <w:t>Giving</w:t>
      </w:r>
      <w:r w:rsidR="0047482B" w:rsidRPr="00715EF9">
        <w:rPr>
          <w:rFonts w:ascii="Times New Roman" w:hAnsi="Times New Roman"/>
          <w:color w:val="000000" w:themeColor="text1"/>
        </w:rPr>
        <w:t xml:space="preserve"> diphtheria </w:t>
      </w:r>
      <w:r w:rsidR="00573B31">
        <w:rPr>
          <w:rFonts w:ascii="Times New Roman" w:hAnsi="Times New Roman"/>
          <w:color w:val="000000" w:themeColor="text1"/>
          <w:lang w:val="id-ID"/>
        </w:rPr>
        <w:t xml:space="preserve">vaccine </w:t>
      </w:r>
      <w:r w:rsidR="0047482B" w:rsidRPr="00715EF9">
        <w:rPr>
          <w:rFonts w:ascii="Times New Roman" w:hAnsi="Times New Roman"/>
          <w:color w:val="000000" w:themeColor="text1"/>
        </w:rPr>
        <w:t xml:space="preserve">booster as an adult is determined by the disease endemicity. Diphtheria low endemicity countries required the administration of diphtheria booster vaccine for exposure to </w:t>
      </w:r>
      <w:r w:rsidR="001A1360">
        <w:rPr>
          <w:rFonts w:ascii="Times New Roman" w:hAnsi="Times New Roman"/>
          <w:color w:val="000000" w:themeColor="text1"/>
        </w:rPr>
        <w:t xml:space="preserve">a </w:t>
      </w:r>
      <w:r w:rsidR="0047482B" w:rsidRPr="00715EF9">
        <w:rPr>
          <w:rFonts w:ascii="Times New Roman" w:hAnsi="Times New Roman"/>
          <w:color w:val="000000" w:themeColor="text1"/>
        </w:rPr>
        <w:t>natural booster of the environment less.</w:t>
      </w:r>
      <w:r w:rsidR="00DF08A6">
        <w:rPr>
          <w:rFonts w:ascii="Times New Roman" w:hAnsi="Times New Roman"/>
          <w:color w:val="000000" w:themeColor="text1"/>
        </w:rPr>
        <w:fldChar w:fldCharType="begin" w:fldLock="1"/>
      </w:r>
      <w:r w:rsidR="00DF08A6">
        <w:rPr>
          <w:rFonts w:ascii="Times New Roman" w:hAnsi="Times New Roman"/>
          <w:color w:val="000000" w:themeColor="text1"/>
        </w:rPr>
        <w:instrText>ADDIN CSL_CITATION {"citationItems":[{"id":"ITEM-1","itemData":{"id":"ITEM-1","issued":{"date-parts":[["0"]]},"title":"Laporan angka kejadian difteri di RSHS OKtober 2017 - Januari 2018","type":"article-journal"},"uris":["http://www.mendeley.com/documents/?uuid=6025be3e-f049-49cc-84b9-f7513a27956a"]},{"id":"ITEM-2","itemData":{"DOI":"10.1001/jama.1980.03300470050029","ISBN":"0203842499","ISSN":"15383598","PMID":"18749805","abstract":"This invention relates to the oral medicine which is prescribed for the patient into the mouth and taken. As drugs which are prescribed for the patient into the mouth and taken from the former, there was a thing of various dosage forms, such as a granule, powder medicine, a tablet, or a capsule. These drugs are generally swallowed with water. However, for a bedridden person or people with a swallowing difficulty, understanding together with water is not easy. That is, the conventional drugs cannot be easily taken for a bedridden person or people with a swallowing difficulty. The present invention is made in order to solve the above-mentioned conventional defect, and it comes out. Even if the object is a person, and people with a swallowing difficulty, there is in providing an oral medicine which can be taken easily. Problem to be solved: To provide an internal medicine which can easily be administered even by a bedridden person or a dysphagic person. Solution: This internal medicine 1 has a film-like or sheet-like shape. The internal medicine 1 comprises a medicine layer 2 comprising a medicine-containing layer 2a containing a medicine, and edible coating layers 3 which cover both the sides of the medicine layer 2. The coating layers 3 are dissolved in the stomach or intestine as the digestive organs of persons and can absorb water and saliva.","author":[{"dropping-particle":"","family":"J. Larry Jameson, Anthony S. Fauci, Dennis L. Kasper, Stephen L. Hauser, Dan L. Longo","given":"Joseph Loscalzo","non-dropping-particle":"","parse-names":false,"suffix":""}],"container-title":"JAMA: The Journal of the American Medical Association","id":"ITEM-2","issued":{"date-parts":[["2018"]]},"title":"Harrison's Principles of Internal Medicine","type":"article-journal"},"uris":["http://www.mendeley.com/documents/?uuid=4a03827c-48d3-4fed-a6ca-f035ef373818"]}],"mendeley":{"formattedCitation":"&lt;sup&gt;6,8&lt;/sup&gt;","plainTextFormattedCitation":"6,8","previouslyFormattedCitation":"&lt;sup&gt;6,8&lt;/sup&gt;"},"properties":{"noteIndex":0},"schema":"https://github.com/citation-style-language/schema/raw/master/csl-citation.json"}</w:instrText>
      </w:r>
      <w:r w:rsidR="00DF08A6">
        <w:rPr>
          <w:rFonts w:ascii="Times New Roman" w:hAnsi="Times New Roman"/>
          <w:color w:val="000000" w:themeColor="text1"/>
        </w:rPr>
        <w:fldChar w:fldCharType="separate"/>
      </w:r>
      <w:r w:rsidR="00DF08A6" w:rsidRPr="00DF08A6">
        <w:rPr>
          <w:rFonts w:ascii="Times New Roman" w:hAnsi="Times New Roman"/>
          <w:noProof/>
          <w:color w:val="000000" w:themeColor="text1"/>
          <w:vertAlign w:val="superscript"/>
        </w:rPr>
        <w:t>6.8</w:t>
      </w:r>
      <w:r w:rsidR="00DF08A6">
        <w:rPr>
          <w:rFonts w:ascii="Times New Roman" w:hAnsi="Times New Roman"/>
          <w:color w:val="000000" w:themeColor="text1"/>
        </w:rPr>
        <w:fldChar w:fldCharType="end"/>
      </w:r>
      <w:r w:rsidR="00961737">
        <w:rPr>
          <w:rFonts w:ascii="Times New Roman" w:hAnsi="Times New Roman"/>
          <w:color w:val="000000" w:themeColor="text1"/>
        </w:rPr>
        <w:t xml:space="preserve">From the studies that have been conducted, it was found decreased levels of antibodies after vaccination of </w:t>
      </w:r>
      <w:r w:rsidR="00961737">
        <w:rPr>
          <w:rFonts w:ascii="Times New Roman" w:hAnsi="Times New Roman"/>
          <w:color w:val="000000" w:themeColor="text1"/>
        </w:rPr>
        <w:lastRenderedPageBreak/>
        <w:t>diphtheria long that repeated immunization in the adult population is important so that antibody levels remain adequate. In addition, research on Kipi in adults in Indonesia yet.</w:t>
      </w:r>
      <w:r w:rsidR="00DF08A6">
        <w:rPr>
          <w:rFonts w:ascii="Times New Roman" w:hAnsi="Times New Roman"/>
          <w:color w:val="000000" w:themeColor="text1"/>
        </w:rPr>
        <w:fldChar w:fldCharType="begin" w:fldLock="1"/>
      </w:r>
      <w:r w:rsidR="00DD3F54">
        <w:rPr>
          <w:rFonts w:ascii="Times New Roman" w:hAnsi="Times New Roman"/>
          <w:color w:val="000000" w:themeColor="text1"/>
        </w:rPr>
        <w:instrText>ADDIN CSL_CITATION {"citationItems":[{"id":"ITEM-1","itemData":{"author":[{"dropping-particle":"","family":"djauzi S, sundoro J, rengganis I, koenoe S, soegiarto G","given":"maria S","non-dropping-particle":"","parse-names":false,"suffix":""}],"container-title":"PAPDI","id":"ITEM-1","issued":{"date-parts":[["2017"]]},"title":"Pedoman Imunisasi pada Orang Dewasa 2017","type":"article-journal"},"uris":["http://www.mendeley.com/documents/?uuid=9ec5fad4-0129-4253-a5ab-6417026e1b22"]},{"id":"ITEM-2","itemData":{"DOI":"10.1097/INF.0b013e3182748f0b","ISSN":"08913668","abstract":"Background: Data on vaccination coverage in recently arrived refugee children are essential to formulate catch-up recommendations. \"Overimmu-nizing\" is costly and associated with risks of hyperimmunization, whereas assuming up-to-date immunizations may be misleading. Methods: We retrospectively collected data from 92 migrant children referred to our hospital between January 2009 and May 2010. Results: According to our guidelines, 68 (73.9%) children without evidence of up-to-date immunizations received a booster dose of an age-appropriate tetanus-containing vaccine. As a surrogate for diphtheria-tetanus-pertussis-poliomyelitis immunity, tetanus antibodies were measured by enzyme-linked immunosorbent assay 1 month later in 55 of 68 (80.8%) children 6 months to 16 years of age (median, 7 years) from 23 countries. All but 2 children (3.6%) had reached high antibody titers ( &gt; 1.0 IU/mL) and required no further booster. Unnecessary additional tetanus immunizations thus were avoided in 53 of 55 (96.4%) patients. Conclusion: Assessing antitetanus antibody responses in migrant children allows individual vaccination schedules and avoids the risks of hyperimmunization. Copyright © 2013 by Lippincott Williams  &amp;  Wilkins.","author":[{"dropping-particle":"","family":"La Fuente","given":"Isabel Garcia","non-dropping-particle":"De","parse-names":false,"suffix":""},{"dropping-particle":"","family":"Wagner","given":"Noémie","non-dropping-particle":"","parse-names":false,"suffix":""},{"dropping-particle":"","family":"Siegrist","given":"Claire Anne","non-dropping-particle":"","parse-names":false,"suffix":""},{"dropping-particle":"","family":"Posfay-Barbe","given":"Klara M.","non-dropping-particle":"","parse-names":false,"suffix":""}],"container-title":"Pediatric Infectious Disease Journal","id":"ITEM-2","issued":{"date-parts":[["2013"]]},"title":"Tetanus immunity as a surrogate for past diphtheria-tetanus-pertussis immunization in migrant children","type":"article-journal"},"uris":["http://www.mendeley.com/documents/?uuid=f56776d2-c38b-4cbe-8d02-f29f36720646"]}],"mendeley":{"formattedCitation":"&lt;sup&gt;9,10&lt;/sup&gt;","plainTextFormattedCitation":"9,10","previouslyFormattedCitation":"&lt;sup&gt;9,10&lt;/sup&gt;"},"properties":{"noteIndex":0},"schema":"https://github.com/citation-style-language/schema/raw/master/csl-citation.json"}</w:instrText>
      </w:r>
      <w:r w:rsidR="00DF08A6">
        <w:rPr>
          <w:rFonts w:ascii="Times New Roman" w:hAnsi="Times New Roman"/>
          <w:color w:val="000000" w:themeColor="text1"/>
        </w:rPr>
        <w:fldChar w:fldCharType="separate"/>
      </w:r>
      <w:r w:rsidR="00DF08A6" w:rsidRPr="00DF08A6">
        <w:rPr>
          <w:rFonts w:ascii="Times New Roman" w:hAnsi="Times New Roman"/>
          <w:noProof/>
          <w:color w:val="000000" w:themeColor="text1"/>
          <w:vertAlign w:val="superscript"/>
        </w:rPr>
        <w:t>9.10</w:t>
      </w:r>
      <w:r w:rsidR="00DF08A6">
        <w:rPr>
          <w:rFonts w:ascii="Times New Roman" w:hAnsi="Times New Roman"/>
          <w:color w:val="000000" w:themeColor="text1"/>
        </w:rPr>
        <w:fldChar w:fldCharType="end"/>
      </w:r>
    </w:p>
    <w:p w14:paraId="5A0BB6A4" w14:textId="43695353" w:rsidR="003F6DD8" w:rsidRDefault="002A03E4" w:rsidP="00875E69">
      <w:pPr>
        <w:pStyle w:val="ListParagraph"/>
        <w:tabs>
          <w:tab w:val="left" w:pos="0"/>
        </w:tabs>
        <w:autoSpaceDE w:val="0"/>
        <w:autoSpaceDN w:val="0"/>
        <w:adjustRightInd w:val="0"/>
        <w:spacing w:line="360" w:lineRule="auto"/>
        <w:ind w:left="0"/>
        <w:jc w:val="both"/>
        <w:rPr>
          <w:rFonts w:ascii="Times New Roman" w:hAnsi="Times New Roman"/>
          <w:color w:val="000000" w:themeColor="text1"/>
        </w:rPr>
      </w:pPr>
      <w:r>
        <w:rPr>
          <w:rFonts w:ascii="Times New Roman" w:hAnsi="Times New Roman"/>
          <w:color w:val="000000" w:themeColor="text1"/>
        </w:rPr>
        <w:t xml:space="preserve"> </w:t>
      </w:r>
      <w:r w:rsidR="00B368A0">
        <w:rPr>
          <w:rFonts w:ascii="Times New Roman" w:hAnsi="Times New Roman"/>
          <w:color w:val="000000" w:themeColor="text1"/>
        </w:rPr>
        <w:tab/>
      </w:r>
      <w:r w:rsidR="0047482B" w:rsidRPr="00715EF9">
        <w:rPr>
          <w:rFonts w:ascii="Times New Roman" w:hAnsi="Times New Roman"/>
          <w:color w:val="000000" w:themeColor="text1"/>
        </w:rPr>
        <w:t xml:space="preserve">Many factors play a role in the outbreak of diphtheria among them the number of vulnerable adults and infant immunization coverage and </w:t>
      </w:r>
      <w:r w:rsidR="001A1360">
        <w:rPr>
          <w:rFonts w:ascii="Times New Roman" w:hAnsi="Times New Roman"/>
          <w:color w:val="000000" w:themeColor="text1"/>
        </w:rPr>
        <w:t>re-immunization</w:t>
      </w:r>
      <w:r w:rsidR="0047482B" w:rsidRPr="00715EF9">
        <w:rPr>
          <w:rFonts w:ascii="Times New Roman" w:hAnsi="Times New Roman"/>
          <w:color w:val="000000" w:themeColor="text1"/>
        </w:rPr>
        <w:t xml:space="preserve"> (booster) is low. </w:t>
      </w:r>
      <w:r w:rsidR="001A1360">
        <w:rPr>
          <w:rFonts w:ascii="Times New Roman" w:hAnsi="Times New Roman"/>
          <w:color w:val="000000" w:themeColor="text1"/>
        </w:rPr>
        <w:t>The realization of g</w:t>
      </w:r>
      <w:r w:rsidR="0047482B" w:rsidRPr="00715EF9">
        <w:rPr>
          <w:rFonts w:ascii="Times New Roman" w:hAnsi="Times New Roman"/>
          <w:color w:val="000000" w:themeColor="text1"/>
        </w:rPr>
        <w:t xml:space="preserve">overnment programs </w:t>
      </w:r>
      <w:r w:rsidR="001A1360">
        <w:rPr>
          <w:rFonts w:ascii="Times New Roman" w:hAnsi="Times New Roman"/>
          <w:color w:val="000000" w:themeColor="text1"/>
        </w:rPr>
        <w:t xml:space="preserve">for </w:t>
      </w:r>
      <w:proofErr w:type="spellStart"/>
      <w:r w:rsidR="001A1360">
        <w:rPr>
          <w:rFonts w:ascii="Times New Roman" w:hAnsi="Times New Roman"/>
          <w:color w:val="000000" w:themeColor="text1"/>
        </w:rPr>
        <w:t>diptheria</w:t>
      </w:r>
      <w:proofErr w:type="spellEnd"/>
      <w:r w:rsidR="001A1360">
        <w:rPr>
          <w:rFonts w:ascii="Times New Roman" w:hAnsi="Times New Roman"/>
          <w:color w:val="000000" w:themeColor="text1"/>
        </w:rPr>
        <w:t xml:space="preserve"> immunization is still low due to fears of AEFI and lack of knowledge about benefit immunization, </w:t>
      </w:r>
      <w:r w:rsidR="0047482B" w:rsidRPr="00715EF9">
        <w:rPr>
          <w:rFonts w:ascii="Times New Roman" w:hAnsi="Times New Roman"/>
          <w:color w:val="000000" w:themeColor="text1"/>
        </w:rPr>
        <w:t>so the</w:t>
      </w:r>
      <w:r w:rsidR="001A1360">
        <w:rPr>
          <w:rFonts w:ascii="Times New Roman" w:hAnsi="Times New Roman"/>
          <w:color w:val="000000" w:themeColor="text1"/>
        </w:rPr>
        <w:t>re is a</w:t>
      </w:r>
      <w:r w:rsidR="0047482B" w:rsidRPr="00715EF9">
        <w:rPr>
          <w:rFonts w:ascii="Times New Roman" w:hAnsi="Times New Roman"/>
          <w:color w:val="000000" w:themeColor="text1"/>
        </w:rPr>
        <w:t xml:space="preserve"> need for data on levels of immunity against diphtheria</w:t>
      </w:r>
      <w:r w:rsidR="001A1360">
        <w:rPr>
          <w:rFonts w:ascii="Times New Roman" w:hAnsi="Times New Roman"/>
          <w:color w:val="000000" w:themeColor="text1"/>
        </w:rPr>
        <w:t xml:space="preserve"> of Indonesia people</w:t>
      </w:r>
      <w:r w:rsidR="0047482B" w:rsidRPr="00715EF9">
        <w:rPr>
          <w:rFonts w:ascii="Times New Roman" w:hAnsi="Times New Roman"/>
          <w:color w:val="000000" w:themeColor="text1"/>
        </w:rPr>
        <w:t xml:space="preserve"> and </w:t>
      </w:r>
      <w:r w:rsidR="001A1360">
        <w:rPr>
          <w:rFonts w:ascii="Times New Roman" w:hAnsi="Times New Roman"/>
          <w:color w:val="000000" w:themeColor="text1"/>
        </w:rPr>
        <w:t>AEFI</w:t>
      </w:r>
      <w:r w:rsidR="0047482B" w:rsidRPr="00715EF9">
        <w:rPr>
          <w:rFonts w:ascii="Times New Roman" w:hAnsi="Times New Roman"/>
          <w:color w:val="000000" w:themeColor="text1"/>
        </w:rPr>
        <w:t xml:space="preserve"> that occurs in adults.</w:t>
      </w:r>
      <w:bookmarkEnd w:id="0"/>
      <w:r w:rsidR="00DD3F54">
        <w:rPr>
          <w:rFonts w:ascii="Times New Roman" w:hAnsi="Times New Roman"/>
          <w:color w:val="000000" w:themeColor="text1"/>
        </w:rPr>
        <w:fldChar w:fldCharType="begin" w:fldLock="1"/>
      </w:r>
      <w:r w:rsidR="00DD3F54">
        <w:rPr>
          <w:rFonts w:ascii="Times New Roman" w:hAnsi="Times New Roman"/>
          <w:color w:val="000000" w:themeColor="text1"/>
        </w:rPr>
        <w:instrText>ADDIN CSL_CITATION {"citationItems":[{"id":"ITEM-1","itemData":{"DOI":"10.1001/jama.1980.03300470050029","ISBN":"0203842499","ISSN":"15383598","PMID":"18749805","abstract":"This invention relates to the oral medicine which is prescribed for the patient into the mouth and taken. As drugs which are prescribed for the patient into the mouth and taken from the former, there was a thing of various dosage forms, such as a granule, powder medicine, a tablet, or a capsule. These drugs are generally swallowed with water. However, for a bedridden person or people with a swallowing difficulty, understanding together with water is not easy. That is, the conventional drugs cannot be easily taken for a bedridden person or people with a swallowing difficulty. The present invention is made in order to solve the above-mentioned conventional defect, and it comes out. Even if the object is a person, and people with a swallowing difficulty, there is in providing an oral medicine which can be taken easily. Problem to be solved: To provide an internal medicine which can easily be administered even by a bedridden person or a dysphagic person. Solution: This internal medicine 1 has a film-like or sheet-like shape. The internal medicine 1 comprises a medicine layer 2 comprising a medicine-containing layer 2a containing a medicine, and edible coating layers 3 which cover both the sides of the medicine layer 2. The coating layers 3 are dissolved in the stomach or intestine as the digestive organs of persons and can absorb water and saliva.","author":[{"dropping-particle":"","family":"J. Larry Jameson, Anthony S. Fauci, Dennis L. Kasper, Stephen L. Hauser, Dan L. Longo","given":"Joseph Loscalzo","non-dropping-particle":"","parse-names":false,"suffix":""}],"container-title":"JAMA: The Journal of the American Medical Association","id":"ITEM-1","issued":{"date-parts":[["2018"]]},"title":"Harrison's Principles of Internal Medicine","type":"article-journal"},"uris":["http://www.mendeley.com/documents/?uuid=4a03827c-48d3-4fed-a6ca-f035ef373818"]}],"mendeley":{"formattedCitation":"&lt;sup&gt;8&lt;/sup&gt;","plainTextFormattedCitation":"8","previouslyFormattedCitation":"&lt;sup&gt;8&lt;/sup&gt;"},"properties":{"noteIndex":0},"schema":"https://github.com/citation-style-language/schema/raw/master/csl-citation.json"}</w:instrText>
      </w:r>
      <w:r w:rsidR="00DD3F54">
        <w:rPr>
          <w:rFonts w:ascii="Times New Roman" w:hAnsi="Times New Roman"/>
          <w:color w:val="000000" w:themeColor="text1"/>
        </w:rPr>
        <w:fldChar w:fldCharType="separate"/>
      </w:r>
      <w:r w:rsidR="00DD3F54" w:rsidRPr="00DD3F54">
        <w:rPr>
          <w:rFonts w:ascii="Times New Roman" w:hAnsi="Times New Roman"/>
          <w:noProof/>
          <w:color w:val="000000" w:themeColor="text1"/>
          <w:vertAlign w:val="superscript"/>
        </w:rPr>
        <w:t>8</w:t>
      </w:r>
      <w:r w:rsidR="00DD3F54">
        <w:rPr>
          <w:rFonts w:ascii="Times New Roman" w:hAnsi="Times New Roman"/>
          <w:color w:val="000000" w:themeColor="text1"/>
        </w:rPr>
        <w:fldChar w:fldCharType="end"/>
      </w:r>
    </w:p>
    <w:p w14:paraId="7D38EEAA" w14:textId="77777777" w:rsidR="003110CD" w:rsidRDefault="003110CD" w:rsidP="00875E69">
      <w:pPr>
        <w:spacing w:line="360" w:lineRule="auto"/>
        <w:rPr>
          <w:b/>
          <w:bCs/>
        </w:rPr>
      </w:pPr>
    </w:p>
    <w:p w14:paraId="67749F90" w14:textId="41EB060C" w:rsidR="00617D2F" w:rsidRPr="00617D2F" w:rsidRDefault="00617D2F" w:rsidP="00875E69">
      <w:pPr>
        <w:spacing w:line="360" w:lineRule="auto"/>
        <w:rPr>
          <w:b/>
          <w:bCs/>
        </w:rPr>
      </w:pPr>
      <w:r w:rsidRPr="00617D2F">
        <w:rPr>
          <w:b/>
          <w:bCs/>
        </w:rPr>
        <w:t>METHOD</w:t>
      </w:r>
    </w:p>
    <w:p w14:paraId="30C50EA7" w14:textId="507F59F6" w:rsidR="000B09B3" w:rsidRDefault="00AF03A9" w:rsidP="00875E69">
      <w:pPr>
        <w:spacing w:line="360" w:lineRule="auto"/>
        <w:ind w:firstLine="284"/>
        <w:jc w:val="both"/>
        <w:rPr>
          <w:rFonts w:ascii="Times New Roman" w:hAnsi="Times New Roman"/>
          <w:color w:val="000000" w:themeColor="text1"/>
          <w:sz w:val="24"/>
          <w:szCs w:val="24"/>
        </w:rPr>
      </w:pPr>
      <w:r w:rsidRPr="00715EF9">
        <w:rPr>
          <w:rFonts w:ascii="Times New Roman" w:hAnsi="Times New Roman"/>
          <w:color w:val="000000" w:themeColor="text1"/>
          <w:sz w:val="24"/>
          <w:szCs w:val="24"/>
        </w:rPr>
        <w:t xml:space="preserve">This study uses a quasi-experimental research design without a control group (pretest-posttest), using primary data from students of the Faculty of Medicine UNPAD on duty at Hasan </w:t>
      </w:r>
      <w:proofErr w:type="spellStart"/>
      <w:r w:rsidRPr="00715EF9">
        <w:rPr>
          <w:rFonts w:ascii="Times New Roman" w:hAnsi="Times New Roman"/>
          <w:color w:val="000000" w:themeColor="text1"/>
          <w:sz w:val="24"/>
          <w:szCs w:val="24"/>
        </w:rPr>
        <w:t>Sadikin</w:t>
      </w:r>
      <w:proofErr w:type="spellEnd"/>
      <w:r w:rsidRPr="00715EF9">
        <w:rPr>
          <w:rFonts w:ascii="Times New Roman" w:hAnsi="Times New Roman"/>
          <w:color w:val="000000" w:themeColor="text1"/>
          <w:sz w:val="24"/>
          <w:szCs w:val="24"/>
        </w:rPr>
        <w:t xml:space="preserve"> Hospital in the period from June 2019 taken in</w:t>
      </w:r>
      <w:r w:rsidR="001A1360">
        <w:rPr>
          <w:rFonts w:ascii="Times New Roman" w:hAnsi="Times New Roman" w:cs="Times New Roman"/>
          <w:sz w:val="24"/>
          <w:szCs w:val="24"/>
        </w:rPr>
        <w:t xml:space="preserve"> m</w:t>
      </w:r>
      <w:r w:rsidR="00617D2F">
        <w:rPr>
          <w:rFonts w:ascii="Times New Roman" w:hAnsi="Times New Roman" w:cs="Times New Roman"/>
          <w:sz w:val="24"/>
          <w:szCs w:val="24"/>
        </w:rPr>
        <w:t>edical Check-Up Unit Dr. Hasan Sadikin</w:t>
      </w:r>
      <w:r>
        <w:rPr>
          <w:rFonts w:ascii="Times New Roman" w:hAnsi="Times New Roman"/>
          <w:color w:val="000000" w:themeColor="text1"/>
          <w:sz w:val="24"/>
          <w:szCs w:val="24"/>
        </w:rPr>
        <w:t>, At pretest and posttest single group carried out an initial measurement, intervention in the sample, and then do repeated measurements at 1 month after the intervention, but it is seen Kipi happens after the intervention. This study analyzed descriptively.</w:t>
      </w:r>
      <w:r w:rsidR="00DD3F54">
        <w:rPr>
          <w:rFonts w:ascii="Times New Roman" w:hAnsi="Times New Roman"/>
          <w:color w:val="000000" w:themeColor="text1"/>
          <w:sz w:val="24"/>
          <w:szCs w:val="24"/>
        </w:rPr>
        <w:fldChar w:fldCharType="begin" w:fldLock="1"/>
      </w:r>
      <w:r w:rsidR="00DD3F54">
        <w:rPr>
          <w:rFonts w:ascii="Times New Roman" w:hAnsi="Times New Roman"/>
          <w:color w:val="000000" w:themeColor="text1"/>
          <w:sz w:val="24"/>
          <w:szCs w:val="24"/>
        </w:rPr>
        <w:instrText>ADDIN CSL_CITATION {"citationItems":[{"id":"ITEM-1","itemData":{"ISSN":"00224545","abstract":"The present study examined the construct and external validity of social status based on data covering various aspects of the construct, and collected from adolescent samples in Sweden, Australia, and the United States. Using correlation and factor analytic techniques it was found that (a) the various social status variables were, in general, only moderately related within the different countries, (b) the relations among variables were not congruent between countries, (c) two social status factors were revealed in all countries, separating educational-occupational status from social-economic status, and (d) only the educational-occupational factor showed high congruence between all of the countries. ABSTRACT FROM AUTHOR","author":[{"dropping-particle":"","family":"Shadish","given":"W R","non-dropping-particle":"","parse-names":false,"suffix":""},{"dropping-particle":"","family":"Cook","given":"T D","non-dropping-particle":"","parse-names":false,"suffix":""},{"dropping-particle":"","family":"Campbell","given":"D T","non-dropping-particle":"","parse-names":false,"suffix":""}],"container-title":"Experimental and QuasiExperimental Designs for Generalized Causal Inference","id":"ITEM-1","issued":{"date-parts":[["2002"]]},"title":"From: Shadish, W., Cook, T. &amp; Campbell, D (2002) Experimental &amp; Quasi-Experimental Designs for Generalized Causal Inference. Boston: Houghton Mifflin.","type":"article-journal"},"uris":["http://www.mendeley.com/documents/?uuid=49cb11c9-8c0b-4ba0-831b-928a2497f7aa"]}],"mendeley":{"formattedCitation":"&lt;sup&gt;11&lt;/sup&gt;","plainTextFormattedCitation":"11","previouslyFormattedCitation":"&lt;sup&gt;11&lt;/sup&gt;"},"properties":{"noteIndex":0},"schema":"https://github.com/citation-style-language/schema/raw/master/csl-citation.json"}</w:instrText>
      </w:r>
      <w:r w:rsidR="00DD3F54">
        <w:rPr>
          <w:rFonts w:ascii="Times New Roman" w:hAnsi="Times New Roman"/>
          <w:color w:val="000000" w:themeColor="text1"/>
          <w:sz w:val="24"/>
          <w:szCs w:val="24"/>
        </w:rPr>
        <w:fldChar w:fldCharType="separate"/>
      </w:r>
      <w:r w:rsidR="00DD3F54" w:rsidRPr="00DD3F54">
        <w:rPr>
          <w:rFonts w:ascii="Times New Roman" w:hAnsi="Times New Roman"/>
          <w:noProof/>
          <w:color w:val="000000" w:themeColor="text1"/>
          <w:sz w:val="24"/>
          <w:szCs w:val="24"/>
          <w:vertAlign w:val="superscript"/>
        </w:rPr>
        <w:t>11</w:t>
      </w:r>
      <w:r w:rsidR="00DD3F54">
        <w:rPr>
          <w:rFonts w:ascii="Times New Roman" w:hAnsi="Times New Roman"/>
          <w:color w:val="000000" w:themeColor="text1"/>
          <w:sz w:val="24"/>
          <w:szCs w:val="24"/>
        </w:rPr>
        <w:fldChar w:fldCharType="end"/>
      </w:r>
    </w:p>
    <w:p w14:paraId="5A62CE94" w14:textId="41B91A58" w:rsidR="00900C33" w:rsidRDefault="00900C33" w:rsidP="00875E69">
      <w:pPr>
        <w:spacing w:line="360" w:lineRule="auto"/>
        <w:ind w:firstLine="284"/>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The research subjects receive a single dose of 0.5 ml vaccine Td (Bio </w:t>
      </w:r>
      <w:proofErr w:type="spellStart"/>
      <w:r>
        <w:rPr>
          <w:rFonts w:ascii="Times New Roman" w:hAnsi="Times New Roman"/>
          <w:color w:val="000000" w:themeColor="text1"/>
          <w:sz w:val="24"/>
          <w:szCs w:val="24"/>
        </w:rPr>
        <w:t>Farma</w:t>
      </w:r>
      <w:proofErr w:type="spellEnd"/>
      <w:r>
        <w:rPr>
          <w:rFonts w:ascii="Times New Roman" w:hAnsi="Times New Roman"/>
          <w:color w:val="000000" w:themeColor="text1"/>
          <w:sz w:val="24"/>
          <w:szCs w:val="24"/>
        </w:rPr>
        <w:t xml:space="preserve">) contains 2 Lf (the limit of flocculation) </w:t>
      </w:r>
      <w:r w:rsidR="001A1360">
        <w:rPr>
          <w:rFonts w:ascii="Times New Roman" w:hAnsi="Times New Roman"/>
          <w:color w:val="000000" w:themeColor="text1"/>
          <w:sz w:val="24"/>
          <w:szCs w:val="24"/>
        </w:rPr>
        <w:t xml:space="preserve">of </w:t>
      </w:r>
      <w:r>
        <w:rPr>
          <w:rFonts w:ascii="Times New Roman" w:hAnsi="Times New Roman"/>
          <w:color w:val="000000" w:themeColor="text1"/>
          <w:sz w:val="24"/>
          <w:szCs w:val="24"/>
        </w:rPr>
        <w:t xml:space="preserve">diphtheria toxoid and </w:t>
      </w:r>
      <w:r w:rsidR="001A1360">
        <w:rPr>
          <w:rFonts w:ascii="Times New Roman" w:hAnsi="Times New Roman"/>
          <w:color w:val="000000" w:themeColor="text1"/>
          <w:sz w:val="24"/>
          <w:szCs w:val="24"/>
        </w:rPr>
        <w:t xml:space="preserve">7.5 Lf of </w:t>
      </w:r>
      <w:r>
        <w:rPr>
          <w:rFonts w:ascii="Times New Roman" w:hAnsi="Times New Roman"/>
          <w:color w:val="000000" w:themeColor="text1"/>
          <w:sz w:val="24"/>
          <w:szCs w:val="24"/>
        </w:rPr>
        <w:t xml:space="preserve">tetanus toxoid were injected intramuscularly </w:t>
      </w:r>
      <w:r w:rsidR="001A1360">
        <w:rPr>
          <w:rFonts w:ascii="Times New Roman" w:hAnsi="Times New Roman"/>
          <w:color w:val="000000" w:themeColor="text1"/>
          <w:sz w:val="24"/>
          <w:szCs w:val="24"/>
        </w:rPr>
        <w:t xml:space="preserve">in </w:t>
      </w:r>
      <w:r>
        <w:rPr>
          <w:rFonts w:ascii="Times New Roman" w:hAnsi="Times New Roman"/>
          <w:color w:val="000000" w:themeColor="text1"/>
          <w:sz w:val="24"/>
          <w:szCs w:val="24"/>
        </w:rPr>
        <w:t xml:space="preserve">deltoid region right arm using a needle G23 numbers with a length of 25 mm. Blood samples for examination were taken before and 1 month after immunization. To assess the levels of specific antibodies (IgG) against diphtheria serum used </w:t>
      </w:r>
      <w:r w:rsidR="001A1360">
        <w:rPr>
          <w:rFonts w:ascii="Times New Roman" w:hAnsi="Times New Roman"/>
          <w:color w:val="000000" w:themeColor="text1"/>
          <w:sz w:val="24"/>
          <w:szCs w:val="24"/>
        </w:rPr>
        <w:t xml:space="preserve">a </w:t>
      </w:r>
      <w:r>
        <w:rPr>
          <w:rFonts w:ascii="Times New Roman" w:hAnsi="Times New Roman"/>
          <w:color w:val="000000" w:themeColor="text1"/>
          <w:sz w:val="24"/>
          <w:szCs w:val="24"/>
        </w:rPr>
        <w:t>method of enzyme</w:t>
      </w:r>
      <w:r w:rsidR="001A1360">
        <w:rPr>
          <w:rFonts w:ascii="Times New Roman" w:hAnsi="Times New Roman"/>
          <w:color w:val="000000" w:themeColor="text1"/>
          <w:sz w:val="24"/>
          <w:szCs w:val="24"/>
        </w:rPr>
        <w:t>-</w:t>
      </w:r>
      <w:r>
        <w:rPr>
          <w:rFonts w:ascii="Times New Roman" w:hAnsi="Times New Roman"/>
          <w:color w:val="000000" w:themeColor="text1"/>
          <w:sz w:val="24"/>
          <w:szCs w:val="24"/>
        </w:rPr>
        <w:t xml:space="preserve">linked immunosorbent assays (ELISA), conducted in the laboratory of Bio </w:t>
      </w:r>
      <w:proofErr w:type="spellStart"/>
      <w:r>
        <w:rPr>
          <w:rFonts w:ascii="Times New Roman" w:hAnsi="Times New Roman"/>
          <w:color w:val="000000" w:themeColor="text1"/>
          <w:sz w:val="24"/>
          <w:szCs w:val="24"/>
        </w:rPr>
        <w:t>Farma</w:t>
      </w:r>
      <w:proofErr w:type="spellEnd"/>
      <w:r>
        <w:rPr>
          <w:rFonts w:ascii="Times New Roman" w:hAnsi="Times New Roman"/>
          <w:color w:val="000000" w:themeColor="text1"/>
          <w:sz w:val="24"/>
          <w:szCs w:val="24"/>
        </w:rPr>
        <w:t xml:space="preserve"> Bandung. Assessment of local and systemic </w:t>
      </w:r>
      <w:r w:rsidR="001A1360">
        <w:rPr>
          <w:rFonts w:ascii="Times New Roman" w:hAnsi="Times New Roman"/>
          <w:color w:val="000000" w:themeColor="text1"/>
          <w:sz w:val="24"/>
          <w:szCs w:val="24"/>
        </w:rPr>
        <w:t>AEFI</w:t>
      </w:r>
      <w:r>
        <w:rPr>
          <w:rFonts w:ascii="Times New Roman" w:hAnsi="Times New Roman"/>
          <w:color w:val="000000" w:themeColor="text1"/>
          <w:sz w:val="24"/>
          <w:szCs w:val="24"/>
        </w:rPr>
        <w:t xml:space="preserve"> do </w:t>
      </w:r>
      <w:r w:rsidR="001A1360">
        <w:rPr>
          <w:rFonts w:ascii="Times New Roman" w:hAnsi="Times New Roman"/>
          <w:color w:val="000000" w:themeColor="text1"/>
          <w:sz w:val="24"/>
          <w:szCs w:val="24"/>
        </w:rPr>
        <w:t xml:space="preserve">at </w:t>
      </w:r>
      <w:r>
        <w:rPr>
          <w:rFonts w:ascii="Times New Roman" w:hAnsi="Times New Roman"/>
          <w:color w:val="000000" w:themeColor="text1"/>
          <w:sz w:val="24"/>
          <w:szCs w:val="24"/>
        </w:rPr>
        <w:t>0 days to 1 month after immunization with the recording</w:t>
      </w:r>
      <w:r w:rsidR="001A1360">
        <w:rPr>
          <w:rFonts w:ascii="Times New Roman" w:hAnsi="Times New Roman"/>
          <w:color w:val="000000" w:themeColor="text1"/>
          <w:sz w:val="24"/>
          <w:szCs w:val="24"/>
        </w:rPr>
        <w:t xml:space="preserve"> AEFI in daily control card</w:t>
      </w:r>
      <w:r>
        <w:rPr>
          <w:rFonts w:ascii="Times New Roman" w:hAnsi="Times New Roman"/>
          <w:color w:val="000000" w:themeColor="text1"/>
          <w:sz w:val="24"/>
          <w:szCs w:val="24"/>
        </w:rPr>
        <w:t xml:space="preserve"> by research subjects.</w:t>
      </w:r>
    </w:p>
    <w:p w14:paraId="5AF2F61C" w14:textId="4998D013" w:rsidR="001A1360" w:rsidRDefault="003110CD" w:rsidP="001A1360">
      <w:pPr>
        <w:spacing w:line="360" w:lineRule="auto"/>
        <w:ind w:firstLine="284"/>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Age 18-40 years old and are willing to be incorporated into the study inclusion criteria, while respondents in pregnant condition, fever, have a history of systemic allergic reactions to vaccinations, history of comorbid disease, abnormalities on the ECG recording an exclusion criterion.</w:t>
      </w:r>
    </w:p>
    <w:p w14:paraId="0673381B" w14:textId="2A03B07E" w:rsidR="001A1360" w:rsidRDefault="001A1360" w:rsidP="001A1360">
      <w:pPr>
        <w:spacing w:line="360" w:lineRule="auto"/>
        <w:ind w:firstLine="284"/>
        <w:jc w:val="both"/>
        <w:outlineLvl w:val="0"/>
        <w:rPr>
          <w:rFonts w:ascii="Times New Roman" w:hAnsi="Times New Roman"/>
          <w:color w:val="000000" w:themeColor="text1"/>
          <w:sz w:val="24"/>
          <w:szCs w:val="24"/>
        </w:rPr>
      </w:pPr>
    </w:p>
    <w:p w14:paraId="6A969DE6" w14:textId="2F346F60" w:rsidR="001A1360" w:rsidRDefault="001A1360" w:rsidP="001A1360">
      <w:pPr>
        <w:spacing w:line="360" w:lineRule="auto"/>
        <w:ind w:firstLine="284"/>
        <w:jc w:val="both"/>
        <w:outlineLvl w:val="0"/>
        <w:rPr>
          <w:rFonts w:ascii="Times New Roman" w:hAnsi="Times New Roman"/>
          <w:color w:val="000000" w:themeColor="text1"/>
          <w:sz w:val="24"/>
          <w:szCs w:val="24"/>
        </w:rPr>
      </w:pPr>
    </w:p>
    <w:p w14:paraId="09A18228" w14:textId="140AE890" w:rsidR="001A1360" w:rsidRDefault="001A1360" w:rsidP="001A1360">
      <w:pPr>
        <w:spacing w:line="360" w:lineRule="auto"/>
        <w:ind w:firstLine="284"/>
        <w:jc w:val="both"/>
        <w:outlineLvl w:val="0"/>
        <w:rPr>
          <w:rFonts w:ascii="Times New Roman" w:hAnsi="Times New Roman"/>
          <w:color w:val="000000" w:themeColor="text1"/>
          <w:sz w:val="24"/>
          <w:szCs w:val="24"/>
        </w:rPr>
      </w:pPr>
    </w:p>
    <w:p w14:paraId="0188A05A" w14:textId="77777777" w:rsidR="001A1360" w:rsidRPr="001A1360" w:rsidRDefault="001A1360" w:rsidP="001A1360">
      <w:pPr>
        <w:spacing w:line="360" w:lineRule="auto"/>
        <w:ind w:firstLine="284"/>
        <w:jc w:val="both"/>
        <w:outlineLvl w:val="0"/>
        <w:rPr>
          <w:rFonts w:ascii="Times New Roman" w:hAnsi="Times New Roman"/>
          <w:color w:val="000000" w:themeColor="text1"/>
          <w:sz w:val="24"/>
          <w:szCs w:val="24"/>
        </w:rPr>
      </w:pPr>
    </w:p>
    <w:p w14:paraId="08AD1D4B" w14:textId="5D431F6A" w:rsidR="005D2718" w:rsidRPr="000E4D28" w:rsidRDefault="00D24F78" w:rsidP="00875E69">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RESEARCH RESULT</w:t>
      </w:r>
    </w:p>
    <w:p w14:paraId="03FC6EBF" w14:textId="3E6FDEA7" w:rsidR="00875E69" w:rsidRDefault="000A766A" w:rsidP="001A136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number of subjects initially obtained 162</w:t>
      </w:r>
      <w:r w:rsidR="001A1360">
        <w:rPr>
          <w:rFonts w:ascii="Times New Roman" w:hAnsi="Times New Roman" w:cs="Times New Roman"/>
          <w:sz w:val="24"/>
          <w:szCs w:val="24"/>
        </w:rPr>
        <w:t xml:space="preserve"> students</w:t>
      </w:r>
      <w:r>
        <w:rPr>
          <w:rFonts w:ascii="Times New Roman" w:hAnsi="Times New Roman" w:cs="Times New Roman"/>
          <w:sz w:val="24"/>
          <w:szCs w:val="24"/>
        </w:rPr>
        <w:t>, then invited to socialize</w:t>
      </w:r>
      <w:r w:rsidR="001A1360">
        <w:rPr>
          <w:rFonts w:ascii="Times New Roman" w:hAnsi="Times New Roman" w:cs="Times New Roman"/>
          <w:sz w:val="24"/>
          <w:szCs w:val="24"/>
        </w:rPr>
        <w:t>,</w:t>
      </w:r>
      <w:r>
        <w:rPr>
          <w:rFonts w:ascii="Times New Roman" w:hAnsi="Times New Roman" w:cs="Times New Roman"/>
          <w:sz w:val="24"/>
          <w:szCs w:val="24"/>
        </w:rPr>
        <w:t xml:space="preserve"> but only attended by 123 students. 132 subject of the exclusion criteria and who met the inclusion criteria of 30 people.</w:t>
      </w:r>
    </w:p>
    <w:p w14:paraId="2DA0D28E" w14:textId="42721A3A" w:rsidR="00875E69" w:rsidRDefault="00D24F78" w:rsidP="00875E69">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8208" behindDoc="0" locked="0" layoutInCell="1" allowOverlap="1" wp14:anchorId="454ACE42" wp14:editId="4A89A095">
                <wp:simplePos x="0" y="0"/>
                <wp:positionH relativeFrom="column">
                  <wp:posOffset>-264160</wp:posOffset>
                </wp:positionH>
                <wp:positionV relativeFrom="paragraph">
                  <wp:posOffset>63337</wp:posOffset>
                </wp:positionV>
                <wp:extent cx="5666740" cy="5337175"/>
                <wp:effectExtent l="0" t="0" r="10160" b="15875"/>
                <wp:wrapNone/>
                <wp:docPr id="1" name="Group 1"/>
                <wp:cNvGraphicFramePr/>
                <a:graphic xmlns:a="http://schemas.openxmlformats.org/drawingml/2006/main">
                  <a:graphicData uri="http://schemas.microsoft.com/office/word/2010/wordprocessingGroup">
                    <wpg:wgp>
                      <wpg:cNvGrpSpPr/>
                      <wpg:grpSpPr>
                        <a:xfrm>
                          <a:off x="0" y="0"/>
                          <a:ext cx="5666740" cy="5337175"/>
                          <a:chOff x="0" y="0"/>
                          <a:chExt cx="5972910" cy="5872624"/>
                        </a:xfrm>
                      </wpg:grpSpPr>
                      <wps:wsp>
                        <wps:cNvPr id="54" name="Text Box 2"/>
                        <wps:cNvSpPr txBox="1">
                          <a:spLocks noChangeArrowheads="1"/>
                        </wps:cNvSpPr>
                        <wps:spPr bwMode="auto">
                          <a:xfrm>
                            <a:off x="1013988" y="0"/>
                            <a:ext cx="3847465" cy="556260"/>
                          </a:xfrm>
                          <a:prstGeom prst="rect">
                            <a:avLst/>
                          </a:prstGeom>
                          <a:solidFill>
                            <a:srgbClr val="FFFFFF"/>
                          </a:solidFill>
                          <a:ln w="9525">
                            <a:solidFill>
                              <a:srgbClr val="000000"/>
                            </a:solidFill>
                            <a:miter lim="800000"/>
                            <a:headEnd/>
                            <a:tailEnd/>
                          </a:ln>
                        </wps:spPr>
                        <wps:txbx>
                          <w:txbxContent>
                            <w:p w14:paraId="0B5E24B9" w14:textId="25DEB289" w:rsidR="00706EA7" w:rsidRPr="00A53F23" w:rsidRDefault="00706EA7" w:rsidP="005D2718">
                              <w:pPr>
                                <w:jc w:val="center"/>
                                <w:rPr>
                                  <w:rFonts w:ascii="Times New Roman" w:hAnsi="Times New Roman" w:cs="Times New Roman"/>
                                </w:rPr>
                              </w:pPr>
                              <w:r>
                                <w:rPr>
                                  <w:rFonts w:ascii="Times New Roman" w:hAnsi="Times New Roman" w:cs="Times New Roman"/>
                                </w:rPr>
                                <w:t xml:space="preserve">Students of the Faculty of Medicine UNPAD who are do duty on </w:t>
                              </w:r>
                              <w:proofErr w:type="spellStart"/>
                              <w:r>
                                <w:rPr>
                                  <w:rFonts w:ascii="Times New Roman" w:hAnsi="Times New Roman" w:cs="Times New Roman"/>
                                </w:rPr>
                                <w:t>stase</w:t>
                              </w:r>
                              <w:proofErr w:type="spellEnd"/>
                              <w:r>
                                <w:rPr>
                                  <w:rFonts w:ascii="Times New Roman" w:hAnsi="Times New Roman" w:cs="Times New Roman"/>
                                </w:rPr>
                                <w:t xml:space="preserve"> IPD, Midwifery and Children periodel May to July 2019 (n = 162)</w:t>
                              </w:r>
                            </w:p>
                          </w:txbxContent>
                        </wps:txbx>
                        <wps:bodyPr rot="0" vert="horz" wrap="square" lIns="91440" tIns="45720" rIns="91440" bIns="45720" anchor="t" anchorCtr="0">
                          <a:noAutofit/>
                        </wps:bodyPr>
                      </wps:wsp>
                      <wps:wsp>
                        <wps:cNvPr id="247" name="Text Box 2"/>
                        <wps:cNvSpPr txBox="1">
                          <a:spLocks noChangeArrowheads="1"/>
                        </wps:cNvSpPr>
                        <wps:spPr bwMode="auto">
                          <a:xfrm>
                            <a:off x="3259247" y="615635"/>
                            <a:ext cx="1692275" cy="246380"/>
                          </a:xfrm>
                          <a:prstGeom prst="rect">
                            <a:avLst/>
                          </a:prstGeom>
                          <a:solidFill>
                            <a:srgbClr val="FFFFFF"/>
                          </a:solidFill>
                          <a:ln w="9525">
                            <a:solidFill>
                              <a:srgbClr val="000000"/>
                            </a:solidFill>
                            <a:miter lim="800000"/>
                            <a:headEnd/>
                            <a:tailEnd/>
                          </a:ln>
                        </wps:spPr>
                        <wps:txbx>
                          <w:txbxContent>
                            <w:p w14:paraId="6E24D832" w14:textId="75339131" w:rsidR="00706EA7" w:rsidRPr="00A53F23" w:rsidRDefault="00706EA7" w:rsidP="005D2718">
                              <w:pPr>
                                <w:jc w:val="center"/>
                                <w:rPr>
                                  <w:rFonts w:ascii="Times New Roman" w:hAnsi="Times New Roman" w:cs="Times New Roman"/>
                                </w:rPr>
                              </w:pPr>
                              <w:r>
                                <w:rPr>
                                  <w:rFonts w:ascii="Times New Roman" w:hAnsi="Times New Roman" w:cs="Times New Roman"/>
                                </w:rPr>
                                <w:t>39 people were absent socialization of the world</w:t>
                              </w:r>
                            </w:p>
                          </w:txbxContent>
                        </wps:txbx>
                        <wps:bodyPr rot="0" vert="horz" wrap="square" lIns="91440" tIns="45720" rIns="91440" bIns="45720" anchor="t" anchorCtr="0">
                          <a:noAutofit/>
                        </wps:bodyPr>
                      </wps:wsp>
                      <wps:wsp>
                        <wps:cNvPr id="297" name="Text Box 2"/>
                        <wps:cNvSpPr txBox="1">
                          <a:spLocks noChangeArrowheads="1"/>
                        </wps:cNvSpPr>
                        <wps:spPr bwMode="auto">
                          <a:xfrm>
                            <a:off x="3250194" y="941560"/>
                            <a:ext cx="2693035" cy="307975"/>
                          </a:xfrm>
                          <a:prstGeom prst="rect">
                            <a:avLst/>
                          </a:prstGeom>
                          <a:solidFill>
                            <a:srgbClr val="FFFFFF"/>
                          </a:solidFill>
                          <a:ln w="9525">
                            <a:solidFill>
                              <a:srgbClr val="000000"/>
                            </a:solidFill>
                            <a:miter lim="800000"/>
                            <a:headEnd/>
                            <a:tailEnd/>
                          </a:ln>
                        </wps:spPr>
                        <wps:txbx>
                          <w:txbxContent>
                            <w:p w14:paraId="61D77A57" w14:textId="6B0ADEE3" w:rsidR="00706EA7" w:rsidRPr="00A53F23" w:rsidRDefault="00706EA7" w:rsidP="005D2718">
                              <w:pPr>
                                <w:jc w:val="center"/>
                                <w:rPr>
                                  <w:rFonts w:ascii="Times New Roman" w:hAnsi="Times New Roman" w:cs="Times New Roman"/>
                                </w:rPr>
                              </w:pPr>
                              <w:r>
                                <w:rPr>
                                  <w:rFonts w:ascii="Times New Roman" w:hAnsi="Times New Roman" w:cs="Times New Roman"/>
                                </w:rPr>
                                <w:t>79 people are not willing to participate in research</w:t>
                              </w:r>
                            </w:p>
                          </w:txbxContent>
                        </wps:txbx>
                        <wps:bodyPr rot="0" vert="horz" wrap="square" lIns="91440" tIns="45720" rIns="91440" bIns="45720" anchor="t" anchorCtr="0">
                          <a:noAutofit/>
                        </wps:bodyPr>
                      </wps:wsp>
                      <wps:wsp>
                        <wps:cNvPr id="304" name="Straight Connector 304"/>
                        <wps:cNvCnPr/>
                        <wps:spPr>
                          <a:xfrm>
                            <a:off x="2924269" y="543208"/>
                            <a:ext cx="921" cy="1355877"/>
                          </a:xfrm>
                          <a:prstGeom prst="line">
                            <a:avLst/>
                          </a:prstGeom>
                        </wps:spPr>
                        <wps:style>
                          <a:lnRef idx="1">
                            <a:schemeClr val="dk1"/>
                          </a:lnRef>
                          <a:fillRef idx="0">
                            <a:schemeClr val="dk1"/>
                          </a:fillRef>
                          <a:effectRef idx="0">
                            <a:schemeClr val="dk1"/>
                          </a:effectRef>
                          <a:fontRef idx="minor">
                            <a:schemeClr val="tx1"/>
                          </a:fontRef>
                        </wps:style>
                        <wps:bodyPr/>
                      </wps:wsp>
                      <wps:wsp>
                        <wps:cNvPr id="331" name="Text Box 2"/>
                        <wps:cNvSpPr txBox="1">
                          <a:spLocks noChangeArrowheads="1"/>
                        </wps:cNvSpPr>
                        <wps:spPr bwMode="auto">
                          <a:xfrm>
                            <a:off x="750978" y="1892043"/>
                            <a:ext cx="4336634" cy="377458"/>
                          </a:xfrm>
                          <a:prstGeom prst="rect">
                            <a:avLst/>
                          </a:prstGeom>
                          <a:solidFill>
                            <a:srgbClr val="FFFFFF"/>
                          </a:solidFill>
                          <a:ln w="9525">
                            <a:solidFill>
                              <a:srgbClr val="000000"/>
                            </a:solidFill>
                            <a:miter lim="800000"/>
                            <a:headEnd/>
                            <a:tailEnd/>
                          </a:ln>
                        </wps:spPr>
                        <wps:txbx>
                          <w:txbxContent>
                            <w:p w14:paraId="3913611A" w14:textId="44FDCB89" w:rsidR="00706EA7" w:rsidRPr="00A53F23" w:rsidRDefault="00706EA7" w:rsidP="005D2718">
                              <w:pPr>
                                <w:jc w:val="center"/>
                                <w:rPr>
                                  <w:rFonts w:ascii="Times New Roman" w:hAnsi="Times New Roman" w:cs="Times New Roman"/>
                                </w:rPr>
                              </w:pPr>
                              <w:r w:rsidRPr="00A53F23">
                                <w:rPr>
                                  <w:rFonts w:ascii="Times New Roman" w:hAnsi="Times New Roman" w:cs="Times New Roman"/>
                                </w:rPr>
                                <w:t>Patients who are willing to follow and be present when the study (n = 32)</w:t>
                              </w:r>
                            </w:p>
                          </w:txbxContent>
                        </wps:txbx>
                        <wps:bodyPr rot="0" vert="horz" wrap="square" lIns="91440" tIns="45720" rIns="91440" bIns="45720" anchor="t" anchorCtr="0">
                          <a:noAutofit/>
                        </wps:bodyPr>
                      </wps:wsp>
                      <wps:wsp>
                        <wps:cNvPr id="332" name="Text Box 2"/>
                        <wps:cNvSpPr txBox="1">
                          <a:spLocks noChangeArrowheads="1"/>
                        </wps:cNvSpPr>
                        <wps:spPr bwMode="auto">
                          <a:xfrm>
                            <a:off x="715223" y="3060071"/>
                            <a:ext cx="4782185" cy="284480"/>
                          </a:xfrm>
                          <a:prstGeom prst="rect">
                            <a:avLst/>
                          </a:prstGeom>
                          <a:solidFill>
                            <a:srgbClr val="FFFFFF"/>
                          </a:solidFill>
                          <a:ln w="9525">
                            <a:solidFill>
                              <a:srgbClr val="000000"/>
                            </a:solidFill>
                            <a:miter lim="800000"/>
                            <a:headEnd/>
                            <a:tailEnd/>
                          </a:ln>
                        </wps:spPr>
                        <wps:txbx>
                          <w:txbxContent>
                            <w:p w14:paraId="6B6F41C6" w14:textId="7C633C56" w:rsidR="00706EA7" w:rsidRPr="00A53F23" w:rsidRDefault="00706EA7" w:rsidP="005D2718">
                              <w:pPr>
                                <w:jc w:val="center"/>
                                <w:rPr>
                                  <w:rFonts w:ascii="Times New Roman" w:hAnsi="Times New Roman" w:cs="Times New Roman"/>
                                </w:rPr>
                              </w:pPr>
                              <w:r>
                                <w:rPr>
                                  <w:rFonts w:ascii="Times New Roman" w:hAnsi="Times New Roman" w:cs="Times New Roman"/>
                                </w:rPr>
                                <w:t>Subjects who met the inclusion criteria (n = 30)</w:t>
                              </w:r>
                            </w:p>
                          </w:txbxContent>
                        </wps:txbx>
                        <wps:bodyPr rot="0" vert="horz" wrap="square" lIns="91440" tIns="45720" rIns="91440" bIns="45720" anchor="t" anchorCtr="0">
                          <a:noAutofit/>
                        </wps:bodyPr>
                      </wps:wsp>
                      <wps:wsp>
                        <wps:cNvPr id="333" name="Text Box 2"/>
                        <wps:cNvSpPr txBox="1">
                          <a:spLocks noChangeArrowheads="1"/>
                        </wps:cNvSpPr>
                        <wps:spPr bwMode="auto">
                          <a:xfrm>
                            <a:off x="0" y="5441132"/>
                            <a:ext cx="2782570" cy="417195"/>
                          </a:xfrm>
                          <a:prstGeom prst="rect">
                            <a:avLst/>
                          </a:prstGeom>
                          <a:solidFill>
                            <a:srgbClr val="FFFFFF"/>
                          </a:solidFill>
                          <a:ln w="9525">
                            <a:solidFill>
                              <a:srgbClr val="000000"/>
                            </a:solidFill>
                            <a:miter lim="800000"/>
                            <a:headEnd/>
                            <a:tailEnd/>
                          </a:ln>
                        </wps:spPr>
                        <wps:txbx>
                          <w:txbxContent>
                            <w:p w14:paraId="1048A180" w14:textId="7BB136EA" w:rsidR="00706EA7" w:rsidRPr="001E7EDE" w:rsidRDefault="00706EA7" w:rsidP="005D2718">
                              <w:pPr>
                                <w:jc w:val="center"/>
                                <w:rPr>
                                  <w:rFonts w:ascii="Times New Roman" w:hAnsi="Times New Roman" w:cs="Times New Roman"/>
                                </w:rPr>
                              </w:pPr>
                              <w:r>
                                <w:rPr>
                                  <w:rFonts w:ascii="Times New Roman" w:hAnsi="Times New Roman" w:cs="Times New Roman"/>
                                </w:rPr>
                                <w:t xml:space="preserve">Laboratory data levels of antibodies against diphtheria toxin before and after vaccination </w:t>
                              </w:r>
                            </w:p>
                          </w:txbxContent>
                        </wps:txbx>
                        <wps:bodyPr rot="0" vert="horz" wrap="square" lIns="91440" tIns="45720" rIns="91440" bIns="45720" anchor="t" anchorCtr="0">
                          <a:noAutofit/>
                        </wps:bodyPr>
                      </wps:wsp>
                      <wps:wsp>
                        <wps:cNvPr id="334" name="Text Box 2"/>
                        <wps:cNvSpPr txBox="1">
                          <a:spLocks noChangeArrowheads="1"/>
                        </wps:cNvSpPr>
                        <wps:spPr bwMode="auto">
                          <a:xfrm>
                            <a:off x="3168713" y="5459239"/>
                            <a:ext cx="2324100" cy="413385"/>
                          </a:xfrm>
                          <a:prstGeom prst="rect">
                            <a:avLst/>
                          </a:prstGeom>
                          <a:solidFill>
                            <a:srgbClr val="FFFFFF"/>
                          </a:solidFill>
                          <a:ln w="9525">
                            <a:solidFill>
                              <a:srgbClr val="000000"/>
                            </a:solidFill>
                            <a:miter lim="800000"/>
                            <a:headEnd/>
                            <a:tailEnd/>
                          </a:ln>
                        </wps:spPr>
                        <wps:txbx>
                          <w:txbxContent>
                            <w:p w14:paraId="49944491" w14:textId="32CC929B" w:rsidR="00706EA7" w:rsidRPr="001E7EDE" w:rsidRDefault="00706EA7" w:rsidP="005D2718">
                              <w:pPr>
                                <w:jc w:val="center"/>
                                <w:rPr>
                                  <w:rFonts w:ascii="Times New Roman" w:hAnsi="Times New Roman" w:cs="Times New Roman"/>
                                </w:rPr>
                              </w:pPr>
                              <w:r>
                                <w:rPr>
                                  <w:rFonts w:ascii="Times New Roman" w:hAnsi="Times New Roman" w:cs="Times New Roman"/>
                                  <w:lang w:val="id-ID"/>
                                </w:rPr>
                                <w:t>KIPI Data</w:t>
                              </w:r>
                              <w:r w:rsidRPr="001E7EDE">
                                <w:rPr>
                                  <w:rFonts w:ascii="Times New Roman" w:hAnsi="Times New Roman" w:cs="Times New Roman"/>
                                </w:rPr>
                                <w:t xml:space="preserve"> 0-1 months after immunization </w:t>
                              </w:r>
                            </w:p>
                          </w:txbxContent>
                        </wps:txbx>
                        <wps:bodyPr rot="0" vert="horz" wrap="square" lIns="91440" tIns="45720" rIns="91440" bIns="45720" anchor="t" anchorCtr="0">
                          <a:noAutofit/>
                        </wps:bodyPr>
                      </wps:wsp>
                      <wps:wsp>
                        <wps:cNvPr id="337" name="Straight Arrow Connector 337"/>
                        <wps:cNvCnPr/>
                        <wps:spPr>
                          <a:xfrm>
                            <a:off x="2902641" y="2245259"/>
                            <a:ext cx="635" cy="777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39" name="Straight Connector 339"/>
                        <wps:cNvCnPr/>
                        <wps:spPr>
                          <a:xfrm>
                            <a:off x="1448554" y="5160475"/>
                            <a:ext cx="2822575" cy="0"/>
                          </a:xfrm>
                          <a:prstGeom prst="line">
                            <a:avLst/>
                          </a:prstGeom>
                        </wps:spPr>
                        <wps:style>
                          <a:lnRef idx="1">
                            <a:schemeClr val="dk1"/>
                          </a:lnRef>
                          <a:fillRef idx="0">
                            <a:schemeClr val="dk1"/>
                          </a:fillRef>
                          <a:effectRef idx="0">
                            <a:schemeClr val="dk1"/>
                          </a:effectRef>
                          <a:fontRef idx="minor">
                            <a:schemeClr val="tx1"/>
                          </a:fontRef>
                        </wps:style>
                        <wps:bodyPr/>
                      </wps:wsp>
                      <wps:wsp>
                        <wps:cNvPr id="347" name="Straight Arrow Connector 347"/>
                        <wps:cNvCnPr/>
                        <wps:spPr>
                          <a:xfrm>
                            <a:off x="1435980" y="5142368"/>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 name="Text Box 2"/>
                        <wps:cNvSpPr txBox="1">
                          <a:spLocks noChangeArrowheads="1"/>
                        </wps:cNvSpPr>
                        <wps:spPr bwMode="auto">
                          <a:xfrm>
                            <a:off x="3241140" y="1303699"/>
                            <a:ext cx="2731770" cy="461010"/>
                          </a:xfrm>
                          <a:prstGeom prst="rect">
                            <a:avLst/>
                          </a:prstGeom>
                          <a:solidFill>
                            <a:srgbClr val="FFFFFF"/>
                          </a:solidFill>
                          <a:ln w="9525">
                            <a:solidFill>
                              <a:srgbClr val="000000"/>
                            </a:solidFill>
                            <a:miter lim="800000"/>
                            <a:headEnd/>
                            <a:tailEnd/>
                          </a:ln>
                        </wps:spPr>
                        <wps:txbx>
                          <w:txbxContent>
                            <w:p w14:paraId="362F0F0C" w14:textId="2FB1C5AA" w:rsidR="00706EA7" w:rsidRPr="00A53F23" w:rsidRDefault="00706EA7" w:rsidP="004A15A0">
                              <w:pPr>
                                <w:jc w:val="center"/>
                                <w:rPr>
                                  <w:rFonts w:ascii="Times New Roman" w:hAnsi="Times New Roman" w:cs="Times New Roman"/>
                                </w:rPr>
                              </w:pPr>
                              <w:r>
                                <w:rPr>
                                  <w:rFonts w:ascii="Times New Roman" w:hAnsi="Times New Roman" w:cs="Times New Roman"/>
                                </w:rPr>
                                <w:t>12 people can not be present when the conduct of the study</w:t>
                              </w:r>
                            </w:p>
                          </w:txbxContent>
                        </wps:txbx>
                        <wps:bodyPr rot="0" vert="horz" wrap="square" lIns="91440" tIns="45720" rIns="91440" bIns="45720" anchor="t" anchorCtr="0">
                          <a:noAutofit/>
                        </wps:bodyPr>
                      </wps:wsp>
                      <wps:wsp>
                        <wps:cNvPr id="19" name="Text Box 2"/>
                        <wps:cNvSpPr txBox="1">
                          <a:spLocks noChangeArrowheads="1"/>
                        </wps:cNvSpPr>
                        <wps:spPr bwMode="auto">
                          <a:xfrm>
                            <a:off x="3259010" y="2362791"/>
                            <a:ext cx="2543175" cy="585220"/>
                          </a:xfrm>
                          <a:prstGeom prst="rect">
                            <a:avLst/>
                          </a:prstGeom>
                          <a:solidFill>
                            <a:srgbClr val="FFFFFF"/>
                          </a:solidFill>
                          <a:ln w="9525">
                            <a:solidFill>
                              <a:srgbClr val="000000"/>
                            </a:solidFill>
                            <a:miter lim="800000"/>
                            <a:headEnd/>
                            <a:tailEnd/>
                          </a:ln>
                        </wps:spPr>
                        <wps:txbx>
                          <w:txbxContent>
                            <w:p w14:paraId="7824608A" w14:textId="69BACBC2" w:rsidR="00706EA7" w:rsidRPr="00A53F23" w:rsidRDefault="00706EA7" w:rsidP="004A15A0">
                              <w:pPr>
                                <w:jc w:val="center"/>
                                <w:rPr>
                                  <w:rFonts w:ascii="Times New Roman" w:hAnsi="Times New Roman" w:cs="Times New Roman"/>
                                </w:rPr>
                              </w:pPr>
                              <w:r>
                                <w:rPr>
                                  <w:rFonts w:ascii="Times New Roman" w:hAnsi="Times New Roman" w:cs="Times New Roman"/>
                                </w:rPr>
                                <w:t>2 were excluded due to abnormal physical examination: fever and abnormalities on ECG</w:t>
                              </w:r>
                            </w:p>
                          </w:txbxContent>
                        </wps:txbx>
                        <wps:bodyPr rot="0" vert="horz" wrap="square" lIns="91440" tIns="45720" rIns="91440" bIns="45720" anchor="t" anchorCtr="0">
                          <a:noAutofit/>
                        </wps:bodyPr>
                      </wps:wsp>
                      <wps:wsp>
                        <wps:cNvPr id="21" name="Straight Arrow Connector 21"/>
                        <wps:cNvCnPr/>
                        <wps:spPr>
                          <a:xfrm flipV="1">
                            <a:off x="2897109" y="2493475"/>
                            <a:ext cx="309245" cy="69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Text Box 2"/>
                        <wps:cNvSpPr txBox="1">
                          <a:spLocks noChangeArrowheads="1"/>
                        </wps:cNvSpPr>
                        <wps:spPr bwMode="auto">
                          <a:xfrm>
                            <a:off x="642750" y="3666399"/>
                            <a:ext cx="4818380" cy="474854"/>
                          </a:xfrm>
                          <a:prstGeom prst="rect">
                            <a:avLst/>
                          </a:prstGeom>
                          <a:solidFill>
                            <a:srgbClr val="FFFFFF"/>
                          </a:solidFill>
                          <a:ln w="9525">
                            <a:solidFill>
                              <a:srgbClr val="000000"/>
                            </a:solidFill>
                            <a:miter lim="800000"/>
                            <a:headEnd/>
                            <a:tailEnd/>
                          </a:ln>
                        </wps:spPr>
                        <wps:txbx>
                          <w:txbxContent>
                            <w:p w14:paraId="52DD09C3" w14:textId="75545637" w:rsidR="00706EA7" w:rsidRPr="00A53F23" w:rsidRDefault="00706EA7" w:rsidP="009A594E">
                              <w:pPr>
                                <w:jc w:val="center"/>
                                <w:rPr>
                                  <w:rFonts w:ascii="Times New Roman" w:hAnsi="Times New Roman" w:cs="Times New Roman"/>
                                </w:rPr>
                              </w:pPr>
                              <w:r>
                                <w:rPr>
                                  <w:rFonts w:ascii="Times New Roman" w:hAnsi="Times New Roman" w:cs="Times New Roman"/>
                                </w:rPr>
                                <w:t>Blood samples for levels of antibodies against diphtheria toxin, Giving Vaccinations 0 months and Monitoring Kipi (n-30)</w:t>
                              </w:r>
                            </w:p>
                          </w:txbxContent>
                        </wps:txbx>
                        <wps:bodyPr rot="0" vert="horz" wrap="square" lIns="91440" tIns="45720" rIns="91440" bIns="45720" anchor="t" anchorCtr="0">
                          <a:noAutofit/>
                        </wps:bodyPr>
                      </wps:wsp>
                      <wps:wsp>
                        <wps:cNvPr id="27" name="Text Box 2"/>
                        <wps:cNvSpPr txBox="1">
                          <a:spLocks noChangeArrowheads="1"/>
                        </wps:cNvSpPr>
                        <wps:spPr bwMode="auto">
                          <a:xfrm>
                            <a:off x="624689" y="4345663"/>
                            <a:ext cx="4779010" cy="525780"/>
                          </a:xfrm>
                          <a:prstGeom prst="rect">
                            <a:avLst/>
                          </a:prstGeom>
                          <a:solidFill>
                            <a:srgbClr val="FFFFFF"/>
                          </a:solidFill>
                          <a:ln w="9525">
                            <a:solidFill>
                              <a:srgbClr val="000000"/>
                            </a:solidFill>
                            <a:miter lim="800000"/>
                            <a:headEnd/>
                            <a:tailEnd/>
                          </a:ln>
                        </wps:spPr>
                        <wps:txbx>
                          <w:txbxContent>
                            <w:p w14:paraId="310891A4" w14:textId="4AE5C4CA" w:rsidR="00706EA7" w:rsidRPr="00A53F23" w:rsidRDefault="00706EA7" w:rsidP="009A594E">
                              <w:pPr>
                                <w:jc w:val="center"/>
                                <w:rPr>
                                  <w:rFonts w:ascii="Times New Roman" w:hAnsi="Times New Roman" w:cs="Times New Roman"/>
                                </w:rPr>
                              </w:pPr>
                              <w:r>
                                <w:rPr>
                                  <w:rFonts w:ascii="Times New Roman" w:hAnsi="Times New Roman" w:cs="Times New Roman"/>
                                </w:rPr>
                                <w:t>Blood samples for levels of antibodies against diphtheria toxin 1 month after vaccination, monitoring Kipi 0- 1 month Shelah vaccination (n-30)</w:t>
                              </w:r>
                            </w:p>
                          </w:txbxContent>
                        </wps:txbx>
                        <wps:bodyPr rot="0" vert="horz" wrap="square" lIns="91440" tIns="45720" rIns="91440" bIns="45720" anchor="t" anchorCtr="0">
                          <a:noAutofit/>
                        </wps:bodyPr>
                      </wps:wsp>
                      <wps:wsp>
                        <wps:cNvPr id="224" name="Straight Arrow Connector 224"/>
                        <wps:cNvCnPr/>
                        <wps:spPr>
                          <a:xfrm flipH="1">
                            <a:off x="2902641" y="3395049"/>
                            <a:ext cx="0" cy="231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5" name="Straight Arrow Connector 225"/>
                        <wps:cNvCnPr/>
                        <wps:spPr>
                          <a:xfrm>
                            <a:off x="2902429" y="4140678"/>
                            <a:ext cx="423" cy="1672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6" name="Straight Arrow Connector 226"/>
                        <wps:cNvCnPr/>
                        <wps:spPr>
                          <a:xfrm flipH="1">
                            <a:off x="2920748" y="4906978"/>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8" name="Straight Arrow Connector 228"/>
                        <wps:cNvCnPr/>
                        <wps:spPr>
                          <a:xfrm>
                            <a:off x="2933322" y="746156"/>
                            <a:ext cx="195580" cy="2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9" name="Straight Arrow Connector 229"/>
                        <wps:cNvCnPr/>
                        <wps:spPr>
                          <a:xfrm flipV="1">
                            <a:off x="2906162" y="1108295"/>
                            <a:ext cx="198120" cy="69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0" name="Straight Arrow Connector 230"/>
                        <wps:cNvCnPr/>
                        <wps:spPr>
                          <a:xfrm>
                            <a:off x="2924269" y="1488540"/>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1" name="Straight Arrow Connector 231"/>
                        <wps:cNvCnPr/>
                        <wps:spPr>
                          <a:xfrm>
                            <a:off x="4269715" y="5178582"/>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454ACE42" id="Group 1" o:spid="_x0000_s1026" style="position:absolute;left:0;text-align:left;margin-left:-20.8pt;margin-top:5pt;width:446.2pt;height:420.25pt;z-index:251678208;mso-width-relative:margin;mso-height-relative:margin" coordsize="59729,58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">
                <v:shapetype id="_x0000_t202" coordsize="21600,21600" o:spt="202" path="m,l,21600r21600,l21600,xe">
                  <v:stroke joinstyle="miter"/>
                  <v:path gradientshapeok="t" o:connecttype="rect"/>
                </v:shapetype>
                <v:shape id="Text Box 2" o:spid="_x0000_s1027" type="#_x0000_t202" style="position:absolute;left:10139;width:38475;height:5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">
                  <v:textbox>
                    <w:txbxContent>
                      <w:p w14:paraId="0B5E24B9" w14:textId="25DEB289" w:rsidR="00E64416" w:rsidRPr="00A53F23" w:rsidRDefault="00E64416" w:rsidP="005D2718">
                        <w:pPr>
                          <w:jc w:val="center"/>
                          <w:rPr>
                            <w:rFonts w:ascii="Times New Roman" w:hAnsi="Times New Roman" w:cs="Times New Roman"/>
                          </w:rPr>
                        </w:pPr>
                        <w:r>
                          <w:rPr>
                            <w:rFonts w:ascii="Times New Roman" w:hAnsi="Times New Roman" w:cs="Times New Roman"/>
                          </w:rPr>
                          <w:t xml:space="preserve">Students of the Faculty of Medicine UNPAD who are </w:t>
                        </w:r>
                        <w:r w:rsidR="001A1360">
                          <w:rPr>
                            <w:rFonts w:ascii="Times New Roman" w:hAnsi="Times New Roman" w:cs="Times New Roman"/>
                          </w:rPr>
                          <w:t>do duty on</w:t>
                        </w:r>
                        <w:r>
                          <w:rPr>
                            <w:rFonts w:ascii="Times New Roman" w:hAnsi="Times New Roman" w:cs="Times New Roman"/>
                          </w:rPr>
                          <w:t xml:space="preserve"> </w:t>
                        </w:r>
                        <w:proofErr w:type="spellStart"/>
                        <w:r>
                          <w:rPr>
                            <w:rFonts w:ascii="Times New Roman" w:hAnsi="Times New Roman" w:cs="Times New Roman"/>
                          </w:rPr>
                          <w:t>stase</w:t>
                        </w:r>
                        <w:proofErr w:type="spellEnd"/>
                        <w:r>
                          <w:rPr>
                            <w:rFonts w:ascii="Times New Roman" w:hAnsi="Times New Roman" w:cs="Times New Roman"/>
                          </w:rPr>
                          <w:t xml:space="preserve"> IPD, Midwifery and Children periodel May to July 2019 (n = 162)</w:t>
                        </w:r>
                      </w:p>
                    </w:txbxContent>
                  </v:textbox>
                </v:shape>
                <v:shape id="Text Box 2" o:spid="_x0000_s1028" type="#_x0000_t202" style="position:absolute;left:32592;top:6156;width:16923;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">
                  <v:textbox>
                    <w:txbxContent>
                      <w:p w14:paraId="6E24D832" w14:textId="75339131" w:rsidR="00E64416" w:rsidRPr="00A53F23" w:rsidRDefault="00E64416" w:rsidP="005D2718">
                        <w:pPr>
                          <w:jc w:val="center"/>
                          <w:rPr>
                            <w:rFonts w:ascii="Times New Roman" w:hAnsi="Times New Roman" w:cs="Times New Roman"/>
                          </w:rPr>
                        </w:pPr>
                        <w:r>
                          <w:rPr>
                            <w:rFonts w:ascii="Times New Roman" w:hAnsi="Times New Roman" w:cs="Times New Roman"/>
                          </w:rPr>
                          <w:t>39 people were absent socialization of the world</w:t>
                        </w:r>
                      </w:p>
                    </w:txbxContent>
                  </v:textbox>
                </v:shape>
                <v:shape id="Text Box 2" o:spid="_x0000_s1029" type="#_x0000_t202" style="position:absolute;left:32501;top:9415;width:26931;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">
                  <v:textbox>
                    <w:txbxContent>
                      <w:p w14:paraId="61D77A57" w14:textId="6B0ADEE3" w:rsidR="00E64416" w:rsidRPr="00A53F23" w:rsidRDefault="00E64416" w:rsidP="005D2718">
                        <w:pPr>
                          <w:jc w:val="center"/>
                          <w:rPr>
                            <w:rFonts w:ascii="Times New Roman" w:hAnsi="Times New Roman" w:cs="Times New Roman"/>
                          </w:rPr>
                        </w:pPr>
                        <w:r>
                          <w:rPr>
                            <w:rFonts w:ascii="Times New Roman" w:hAnsi="Times New Roman" w:cs="Times New Roman"/>
                          </w:rPr>
                          <w:t>79 people are not willing to participate in research</w:t>
                        </w:r>
                      </w:p>
                    </w:txbxContent>
                  </v:textbox>
                </v:shape>
                <v:line id="Straight Connector 304" o:spid="_x0000_s1030" style="position:absolute;visibility:visible;mso-wrap-style:square" from="29242,5432" to="29251,18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" strokecolor="black [3040]"/>
                <v:shape id="Text Box 2" o:spid="_x0000_s1031" type="#_x0000_t202" style="position:absolute;left:7509;top:18920;width:43367;height:3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">
                  <v:textbox>
                    <w:txbxContent>
                      <w:p w14:paraId="3913611A" w14:textId="44FDCB89" w:rsidR="00E64416" w:rsidRPr="00A53F23" w:rsidRDefault="00E64416" w:rsidP="005D2718">
                        <w:pPr>
                          <w:jc w:val="center"/>
                          <w:rPr>
                            <w:rFonts w:ascii="Times New Roman" w:hAnsi="Times New Roman" w:cs="Times New Roman"/>
                          </w:rPr>
                        </w:pPr>
                        <w:r w:rsidRPr="00A53F23">
                          <w:rPr>
                            <w:rFonts w:ascii="Times New Roman" w:hAnsi="Times New Roman" w:cs="Times New Roman"/>
                          </w:rPr>
                          <w:t>Patients who are willing to follow and be present when the study (n = 32)</w:t>
                        </w:r>
                      </w:p>
                    </w:txbxContent>
                  </v:textbox>
                </v:shape>
                <v:shape id="Text Box 2" o:spid="_x0000_s1032" type="#_x0000_t202" style="position:absolute;left:7152;top:30600;width:47822;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">
                  <v:textbox>
                    <w:txbxContent>
                      <w:p w14:paraId="6B6F41C6" w14:textId="7C633C56" w:rsidR="00E64416" w:rsidRPr="00A53F23" w:rsidRDefault="00E64416" w:rsidP="005D2718">
                        <w:pPr>
                          <w:jc w:val="center"/>
                          <w:rPr>
                            <w:rFonts w:ascii="Times New Roman" w:hAnsi="Times New Roman" w:cs="Times New Roman"/>
                          </w:rPr>
                        </w:pPr>
                        <w:r>
                          <w:rPr>
                            <w:rFonts w:ascii="Times New Roman" w:hAnsi="Times New Roman" w:cs="Times New Roman"/>
                          </w:rPr>
                          <w:t>Subjects who met the inclusion criteria (n = 30)</w:t>
                        </w:r>
                      </w:p>
                    </w:txbxContent>
                  </v:textbox>
                </v:shape>
                <v:shape id="Text Box 2" o:spid="_x0000_s1033" type="#_x0000_t202" style="position:absolute;top:54411;width:27825;height:4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">
                  <v:textbox>
                    <w:txbxContent>
                      <w:p w14:paraId="1048A180" w14:textId="7BB136EA" w:rsidR="00E64416" w:rsidRPr="001E7EDE" w:rsidRDefault="00E64416" w:rsidP="005D2718">
                        <w:pPr>
                          <w:jc w:val="center"/>
                          <w:rPr>
                            <w:rFonts w:ascii="Times New Roman" w:hAnsi="Times New Roman" w:cs="Times New Roman"/>
                          </w:rPr>
                        </w:pPr>
                        <w:r>
                          <w:rPr>
                            <w:rFonts w:ascii="Times New Roman" w:hAnsi="Times New Roman" w:cs="Times New Roman"/>
                          </w:rPr>
                          <w:t xml:space="preserve">Laboratory data levels of antibodies against diphtheria toxin before and after vaccination </w:t>
                        </w:r>
                      </w:p>
                    </w:txbxContent>
                  </v:textbox>
                </v:shape>
                <v:shape id="Text Box 2" o:spid="_x0000_s1034" type="#_x0000_t202" style="position:absolute;left:31687;top:54592;width:23241;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">
                  <v:textbox>
                    <w:txbxContent>
                      <w:p w14:paraId="49944491" w14:textId="32CC929B" w:rsidR="00E64416" w:rsidRPr="001E7EDE" w:rsidRDefault="00E64416" w:rsidP="005D2718">
                        <w:pPr>
                          <w:jc w:val="center"/>
                          <w:rPr>
                            <w:rFonts w:ascii="Times New Roman" w:hAnsi="Times New Roman" w:cs="Times New Roman"/>
                          </w:rPr>
                        </w:pPr>
                        <w:r>
                          <w:rPr>
                            <w:rFonts w:ascii="Times New Roman" w:hAnsi="Times New Roman" w:cs="Times New Roman"/>
                            <w:lang w:val="id-ID"/>
                          </w:rPr>
                          <w:t>KIPI Data</w:t>
                        </w:r>
                        <w:r w:rsidRPr="001E7EDE">
                          <w:rPr>
                            <w:rFonts w:ascii="Times New Roman" w:hAnsi="Times New Roman" w:cs="Times New Roman"/>
                          </w:rPr>
                          <w:t xml:space="preserve"> 0-1 months after immunization </w:t>
                        </w:r>
                      </w:p>
                    </w:txbxContent>
                  </v:textbox>
                </v:shape>
                <v:shapetype id="_x0000_t32" coordsize="21600,21600" o:spt="32" o:oned="t" path="m,l21600,21600e" filled="f">
                  <v:path arrowok="t" fillok="f" o:connecttype="none"/>
                  <o:lock v:ext="edit" shapetype="t"/>
                </v:shapetype>
                <v:shape id="Straight Arrow Connector 337" o:spid="_x0000_s1035" type="#_x0000_t32" style="position:absolute;left:29026;top:22452;width:6;height:77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" strokecolor="black [3040]">
                  <v:stroke endarrow="block"/>
                </v:shape>
                <v:line id="Straight Connector 339" o:spid="_x0000_s1036" style="position:absolute;visibility:visible;mso-wrap-style:square" from="14485,51604" to="42711,51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" strokecolor="black [3040]"/>
                <v:shape id="Straight Arrow Connector 347" o:spid="_x0000_s1037" type="#_x0000_t32" style="position:absolute;left:14359;top:51423;width:0;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" strokecolor="black [3040]">
                  <v:stroke endarrow="block"/>
                </v:shape>
                <v:shape id="Text Box 2" o:spid="_x0000_s1038" type="#_x0000_t202" style="position:absolute;left:32411;top:13036;width:27318;height:4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62F0F0C" w14:textId="2FB1C5AA" w:rsidR="00E64416" w:rsidRPr="00A53F23" w:rsidRDefault="00E64416" w:rsidP="004A15A0">
                        <w:pPr>
                          <w:jc w:val="center"/>
                          <w:rPr>
                            <w:rFonts w:ascii="Times New Roman" w:hAnsi="Times New Roman" w:cs="Times New Roman"/>
                          </w:rPr>
                        </w:pPr>
                        <w:r>
                          <w:rPr>
                            <w:rFonts w:ascii="Times New Roman" w:hAnsi="Times New Roman" w:cs="Times New Roman"/>
                          </w:rPr>
                          <w:t>12 people can not be present when the conduct of the study</w:t>
                        </w:r>
                      </w:p>
                    </w:txbxContent>
                  </v:textbox>
                </v:shape>
                <v:shape id="Text Box 2" o:spid="_x0000_s1039" type="#_x0000_t202" style="position:absolute;left:32590;top:23627;width:25431;height:5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7824608A" w14:textId="69BACBC2" w:rsidR="00E64416" w:rsidRPr="00A53F23" w:rsidRDefault="00E64416" w:rsidP="004A15A0">
                        <w:pPr>
                          <w:jc w:val="center"/>
                          <w:rPr>
                            <w:rFonts w:ascii="Times New Roman" w:hAnsi="Times New Roman" w:cs="Times New Roman"/>
                          </w:rPr>
                        </w:pPr>
                        <w:r>
                          <w:rPr>
                            <w:rFonts w:ascii="Times New Roman" w:hAnsi="Times New Roman" w:cs="Times New Roman"/>
                          </w:rPr>
                          <w:t>2 were excluded due to abnormal physical examination: fever and abnormalities on ECG</w:t>
                        </w:r>
                      </w:p>
                    </w:txbxContent>
                  </v:textbox>
                </v:shape>
                <v:shape id="Straight Arrow Connector 21" o:spid="_x0000_s1040" type="#_x0000_t32" style="position:absolute;left:28971;top:24934;width:3092;height: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" strokecolor="black [3040]">
                  <v:stroke endarrow="block"/>
                </v:shape>
                <v:shape id="Text Box 2" o:spid="_x0000_s1041" type="#_x0000_t202" style="position:absolute;left:6427;top:36663;width:48184;height: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14:paraId="52DD09C3" w14:textId="75545637" w:rsidR="00E64416" w:rsidRPr="00A53F23" w:rsidRDefault="00E64416" w:rsidP="009A594E">
                        <w:pPr>
                          <w:jc w:val="center"/>
                          <w:rPr>
                            <w:rFonts w:ascii="Times New Roman" w:hAnsi="Times New Roman" w:cs="Times New Roman"/>
                          </w:rPr>
                        </w:pPr>
                        <w:r>
                          <w:rPr>
                            <w:rFonts w:ascii="Times New Roman" w:hAnsi="Times New Roman" w:cs="Times New Roman"/>
                          </w:rPr>
                          <w:t>Blood samples for levels of antibodies against diphtheria toxin, Giving Vaccinations 0 months and Monitoring Kipi (n-30)</w:t>
                        </w:r>
                      </w:p>
                    </w:txbxContent>
                  </v:textbox>
                </v:shape>
                <v:shape id="Text Box 2" o:spid="_x0000_s1042" type="#_x0000_t202" style="position:absolute;left:6246;top:43456;width:47790;height:5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310891A4" w14:textId="4AE5C4CA" w:rsidR="00E64416" w:rsidRPr="00A53F23" w:rsidRDefault="00E64416" w:rsidP="009A594E">
                        <w:pPr>
                          <w:jc w:val="center"/>
                          <w:rPr>
                            <w:rFonts w:ascii="Times New Roman" w:hAnsi="Times New Roman" w:cs="Times New Roman"/>
                          </w:rPr>
                        </w:pPr>
                        <w:r>
                          <w:rPr>
                            <w:rFonts w:ascii="Times New Roman" w:hAnsi="Times New Roman" w:cs="Times New Roman"/>
                          </w:rPr>
                          <w:t>Blood samples for levels of antibodies against diphtheria toxin 1 month after vaccination, monitoring Kipi 0- 1 month Shelah vaccination (n-30)</w:t>
                        </w:r>
                      </w:p>
                    </w:txbxContent>
                  </v:textbox>
                </v:shape>
                <v:shape id="Straight Arrow Connector 224" o:spid="_x0000_s1043" type="#_x0000_t32" style="position:absolute;left:29026;top:33950;width:0;height:23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" strokecolor="black [3040]">
                  <v:stroke endarrow="block"/>
                </v:shape>
                <v:shape id="Straight Arrow Connector 225" o:spid="_x0000_s1044" type="#_x0000_t32" style="position:absolute;left:29024;top:41406;width:4;height:16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" strokecolor="black [3040]">
                  <v:stroke endarrow="block"/>
                </v:shape>
                <v:shape id="Straight Arrow Connector 226" o:spid="_x0000_s1045" type="#_x0000_t32" style="position:absolute;left:29207;top:49069;width:0;height:2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" strokecolor="black [3040]">
                  <v:stroke endarrow="block"/>
                </v:shape>
                <v:shape id="Straight Arrow Connector 228" o:spid="_x0000_s1046" type="#_x0000_t32" style="position:absolute;left:29333;top:7461;width:1956;height: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" strokecolor="black [3040]">
                  <v:stroke endarrow="block"/>
                </v:shape>
                <v:shape id="Straight Arrow Connector 229" o:spid="_x0000_s1047" type="#_x0000_t32" style="position:absolute;left:29061;top:11082;width:1981;height: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" strokecolor="black [3040]">
                  <v:stroke endarrow="block"/>
                </v:shape>
                <v:shape id="Straight Arrow Connector 230" o:spid="_x0000_s1048" type="#_x0000_t32" style="position:absolute;left:29242;top:14885;width:2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" strokecolor="black [3040]">
                  <v:stroke endarrow="block"/>
                </v:shape>
                <v:shape id="Straight Arrow Connector 231" o:spid="_x0000_s1049" type="#_x0000_t32" style="position:absolute;left:42697;top:51785;width:0;height:2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" strokecolor="black [3040]">
                  <v:stroke endarrow="block"/>
                </v:shape>
              </v:group>
            </w:pict>
          </mc:Fallback>
        </mc:AlternateContent>
      </w:r>
    </w:p>
    <w:p w14:paraId="420D2979" w14:textId="0DFCF1B2" w:rsidR="00875E69" w:rsidRDefault="00875E69" w:rsidP="00875E69">
      <w:pPr>
        <w:spacing w:line="360" w:lineRule="auto"/>
        <w:jc w:val="both"/>
        <w:rPr>
          <w:rFonts w:ascii="Times New Roman" w:hAnsi="Times New Roman" w:cs="Times New Roman"/>
          <w:sz w:val="24"/>
          <w:szCs w:val="24"/>
        </w:rPr>
      </w:pPr>
    </w:p>
    <w:p w14:paraId="3BD0F6A8" w14:textId="5A935F53" w:rsidR="00875E69" w:rsidRDefault="00875E69" w:rsidP="00875E69">
      <w:pPr>
        <w:spacing w:line="360" w:lineRule="auto"/>
        <w:jc w:val="both"/>
        <w:rPr>
          <w:rFonts w:ascii="Times New Roman" w:hAnsi="Times New Roman" w:cs="Times New Roman"/>
          <w:sz w:val="24"/>
          <w:szCs w:val="24"/>
        </w:rPr>
      </w:pPr>
    </w:p>
    <w:p w14:paraId="62BCDA40" w14:textId="77777777" w:rsidR="00875E69" w:rsidRDefault="00875E69" w:rsidP="00875E69">
      <w:pPr>
        <w:spacing w:line="360" w:lineRule="auto"/>
        <w:jc w:val="both"/>
        <w:rPr>
          <w:rFonts w:ascii="Times New Roman" w:hAnsi="Times New Roman" w:cs="Times New Roman"/>
          <w:sz w:val="24"/>
          <w:szCs w:val="24"/>
        </w:rPr>
      </w:pPr>
    </w:p>
    <w:p w14:paraId="4F29009B" w14:textId="0454066E" w:rsidR="00FE04B8" w:rsidRDefault="00FE04B8" w:rsidP="00875E69">
      <w:pPr>
        <w:spacing w:line="360" w:lineRule="auto"/>
        <w:jc w:val="both"/>
        <w:rPr>
          <w:rFonts w:ascii="Times New Roman" w:hAnsi="Times New Roman" w:cs="Times New Roman"/>
          <w:sz w:val="24"/>
          <w:szCs w:val="24"/>
        </w:rPr>
      </w:pPr>
    </w:p>
    <w:p w14:paraId="26875665" w14:textId="310A2F84" w:rsidR="00FE04B8" w:rsidRDefault="00FE04B8" w:rsidP="00875E69">
      <w:pPr>
        <w:spacing w:line="360" w:lineRule="auto"/>
        <w:jc w:val="both"/>
        <w:rPr>
          <w:rFonts w:ascii="Times New Roman" w:hAnsi="Times New Roman" w:cs="Times New Roman"/>
          <w:sz w:val="24"/>
          <w:szCs w:val="24"/>
        </w:rPr>
      </w:pPr>
    </w:p>
    <w:p w14:paraId="6ECDB816" w14:textId="651C1BBA" w:rsidR="00FE04B8" w:rsidRDefault="00FE04B8" w:rsidP="00875E69">
      <w:pPr>
        <w:spacing w:line="360" w:lineRule="auto"/>
        <w:jc w:val="both"/>
        <w:rPr>
          <w:rFonts w:ascii="Times New Roman" w:hAnsi="Times New Roman" w:cs="Times New Roman"/>
          <w:sz w:val="24"/>
          <w:szCs w:val="24"/>
        </w:rPr>
      </w:pPr>
    </w:p>
    <w:p w14:paraId="0260929B" w14:textId="4DE4E43A" w:rsidR="00FE04B8" w:rsidRDefault="00FE04B8" w:rsidP="00875E69">
      <w:pPr>
        <w:spacing w:line="360" w:lineRule="auto"/>
        <w:jc w:val="both"/>
        <w:rPr>
          <w:rFonts w:ascii="Times New Roman" w:hAnsi="Times New Roman" w:cs="Times New Roman"/>
          <w:sz w:val="24"/>
          <w:szCs w:val="24"/>
        </w:rPr>
      </w:pPr>
    </w:p>
    <w:p w14:paraId="61146D72" w14:textId="77777777" w:rsidR="00FE04B8" w:rsidRDefault="00FE04B8" w:rsidP="00875E69">
      <w:pPr>
        <w:spacing w:line="360" w:lineRule="auto"/>
        <w:jc w:val="both"/>
        <w:rPr>
          <w:rFonts w:ascii="Times New Roman" w:hAnsi="Times New Roman" w:cs="Times New Roman"/>
          <w:sz w:val="24"/>
          <w:szCs w:val="24"/>
        </w:rPr>
      </w:pPr>
    </w:p>
    <w:p w14:paraId="50D5B850" w14:textId="5B69ADC6" w:rsidR="00FE04B8" w:rsidRDefault="00FE04B8" w:rsidP="00875E69">
      <w:pPr>
        <w:spacing w:line="360" w:lineRule="auto"/>
        <w:jc w:val="both"/>
        <w:rPr>
          <w:rFonts w:ascii="Times New Roman" w:hAnsi="Times New Roman" w:cs="Times New Roman"/>
          <w:sz w:val="24"/>
          <w:szCs w:val="24"/>
        </w:rPr>
      </w:pPr>
    </w:p>
    <w:p w14:paraId="03FD6B13" w14:textId="08B7034C" w:rsidR="00FE04B8" w:rsidRDefault="00FE04B8" w:rsidP="00875E69">
      <w:pPr>
        <w:spacing w:line="360" w:lineRule="auto"/>
        <w:jc w:val="both"/>
        <w:rPr>
          <w:rFonts w:ascii="Times New Roman" w:hAnsi="Times New Roman" w:cs="Times New Roman"/>
          <w:sz w:val="24"/>
          <w:szCs w:val="24"/>
        </w:rPr>
      </w:pPr>
    </w:p>
    <w:p w14:paraId="4D8F9943" w14:textId="18F78A7D" w:rsidR="00FE04B8" w:rsidRDefault="00FE04B8" w:rsidP="00875E69">
      <w:pPr>
        <w:spacing w:line="360" w:lineRule="auto"/>
        <w:jc w:val="both"/>
        <w:rPr>
          <w:rFonts w:ascii="Times New Roman" w:hAnsi="Times New Roman" w:cs="Times New Roman"/>
          <w:sz w:val="24"/>
          <w:szCs w:val="24"/>
        </w:rPr>
      </w:pPr>
    </w:p>
    <w:p w14:paraId="6B88AD82" w14:textId="2A1106B9" w:rsidR="00FE04B8" w:rsidRDefault="00FE04B8" w:rsidP="00875E69">
      <w:pPr>
        <w:spacing w:line="360" w:lineRule="auto"/>
        <w:jc w:val="both"/>
        <w:rPr>
          <w:rFonts w:ascii="Times New Roman" w:hAnsi="Times New Roman" w:cs="Times New Roman"/>
          <w:sz w:val="24"/>
          <w:szCs w:val="24"/>
        </w:rPr>
      </w:pPr>
    </w:p>
    <w:p w14:paraId="0D12E99C" w14:textId="55DD1913" w:rsidR="005D2718" w:rsidRPr="009A594E" w:rsidRDefault="005D2718" w:rsidP="00875E69">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 </w:t>
      </w:r>
    </w:p>
    <w:p w14:paraId="2998ADFC" w14:textId="5B64ADF9" w:rsidR="005D2718" w:rsidRPr="009A594E" w:rsidRDefault="005D2718" w:rsidP="00875E69">
      <w:pPr>
        <w:spacing w:line="360" w:lineRule="auto"/>
        <w:jc w:val="both"/>
        <w:rPr>
          <w:rFonts w:ascii="Times New Roman" w:hAnsi="Times New Roman" w:cs="Times New Roman"/>
          <w:color w:val="FF0000"/>
          <w:sz w:val="24"/>
          <w:szCs w:val="24"/>
        </w:rPr>
      </w:pPr>
    </w:p>
    <w:p w14:paraId="61576BBF" w14:textId="09AD4E44" w:rsidR="005D2718" w:rsidRPr="009A594E" w:rsidRDefault="005D2718" w:rsidP="00875E69">
      <w:pPr>
        <w:spacing w:line="360" w:lineRule="auto"/>
        <w:jc w:val="both"/>
        <w:rPr>
          <w:rFonts w:ascii="Times New Roman" w:hAnsi="Times New Roman" w:cs="Times New Roman"/>
          <w:color w:val="FF0000"/>
          <w:sz w:val="24"/>
          <w:szCs w:val="24"/>
        </w:rPr>
      </w:pPr>
    </w:p>
    <w:p w14:paraId="71CD5800" w14:textId="35ADA0CD" w:rsidR="005D2718" w:rsidRPr="009A594E" w:rsidRDefault="005D2718" w:rsidP="00875E69">
      <w:pPr>
        <w:spacing w:line="360" w:lineRule="auto"/>
        <w:jc w:val="both"/>
        <w:rPr>
          <w:rFonts w:ascii="Times New Roman" w:hAnsi="Times New Roman" w:cs="Times New Roman"/>
          <w:color w:val="FF0000"/>
          <w:sz w:val="24"/>
          <w:szCs w:val="24"/>
        </w:rPr>
      </w:pPr>
    </w:p>
    <w:p w14:paraId="6DB5DB21" w14:textId="41F0C6FF" w:rsidR="005D2718" w:rsidRPr="009A594E" w:rsidRDefault="005D2718" w:rsidP="00875E69">
      <w:pPr>
        <w:tabs>
          <w:tab w:val="left" w:pos="3331"/>
        </w:tabs>
        <w:spacing w:line="360" w:lineRule="auto"/>
        <w:jc w:val="both"/>
        <w:rPr>
          <w:rFonts w:ascii="Times New Roman" w:hAnsi="Times New Roman" w:cs="Times New Roman"/>
          <w:color w:val="FF0000"/>
          <w:sz w:val="24"/>
          <w:szCs w:val="24"/>
        </w:rPr>
      </w:pPr>
      <w:r w:rsidRPr="009A594E">
        <w:rPr>
          <w:rFonts w:ascii="Times New Roman" w:hAnsi="Times New Roman" w:cs="Times New Roman"/>
          <w:color w:val="FF0000"/>
          <w:sz w:val="24"/>
          <w:szCs w:val="24"/>
        </w:rPr>
        <w:tab/>
      </w:r>
    </w:p>
    <w:p w14:paraId="4F100BF2" w14:textId="71289942" w:rsidR="005D2718" w:rsidRDefault="005D2718" w:rsidP="00875E69">
      <w:pPr>
        <w:tabs>
          <w:tab w:val="left" w:pos="5798"/>
        </w:tabs>
        <w:spacing w:line="360" w:lineRule="auto"/>
        <w:jc w:val="both"/>
        <w:rPr>
          <w:rFonts w:ascii="Times New Roman" w:hAnsi="Times New Roman" w:cs="Times New Roman"/>
          <w:color w:val="FF0000"/>
          <w:sz w:val="24"/>
          <w:szCs w:val="24"/>
        </w:rPr>
      </w:pPr>
      <w:r w:rsidRPr="009A594E">
        <w:rPr>
          <w:rFonts w:ascii="Times New Roman" w:hAnsi="Times New Roman" w:cs="Times New Roman"/>
          <w:color w:val="FF0000"/>
          <w:sz w:val="24"/>
          <w:szCs w:val="24"/>
        </w:rPr>
        <w:tab/>
      </w:r>
    </w:p>
    <w:p w14:paraId="3D8C6433" w14:textId="77777777" w:rsidR="00FE04B8" w:rsidRPr="009A594E" w:rsidRDefault="00FE04B8" w:rsidP="00875E69">
      <w:pPr>
        <w:tabs>
          <w:tab w:val="left" w:pos="5798"/>
        </w:tabs>
        <w:spacing w:line="360" w:lineRule="auto"/>
        <w:jc w:val="both"/>
        <w:rPr>
          <w:rFonts w:ascii="Times New Roman" w:hAnsi="Times New Roman" w:cs="Times New Roman"/>
          <w:color w:val="FF0000"/>
          <w:sz w:val="24"/>
          <w:szCs w:val="24"/>
        </w:rPr>
      </w:pPr>
    </w:p>
    <w:p w14:paraId="0F99F7BD" w14:textId="77777777" w:rsidR="00BA3896" w:rsidRDefault="00BA3896" w:rsidP="00875E69">
      <w:pPr>
        <w:spacing w:line="360" w:lineRule="auto"/>
        <w:jc w:val="center"/>
        <w:rPr>
          <w:rFonts w:ascii="Times New Roman" w:hAnsi="Times New Roman" w:cs="Times New Roman"/>
          <w:color w:val="FF0000"/>
          <w:sz w:val="24"/>
          <w:szCs w:val="24"/>
        </w:rPr>
      </w:pPr>
    </w:p>
    <w:p w14:paraId="3F3AACB8" w14:textId="310B1A51" w:rsidR="005D2718" w:rsidRPr="00BA3896" w:rsidRDefault="005D2718" w:rsidP="00875E69">
      <w:pPr>
        <w:spacing w:line="360" w:lineRule="auto"/>
        <w:jc w:val="center"/>
        <w:rPr>
          <w:rFonts w:ascii="Times New Roman" w:hAnsi="Times New Roman" w:cs="Times New Roman"/>
          <w:b/>
          <w:color w:val="000000" w:themeColor="text1"/>
        </w:rPr>
      </w:pPr>
      <w:r w:rsidRPr="00BA3896">
        <w:rPr>
          <w:rFonts w:ascii="Times New Roman" w:hAnsi="Times New Roman" w:cs="Times New Roman"/>
          <w:b/>
          <w:color w:val="000000" w:themeColor="text1"/>
        </w:rPr>
        <w:t>Figure 1 Chart Results</w:t>
      </w:r>
    </w:p>
    <w:p w14:paraId="4900EED4" w14:textId="77777777" w:rsidR="005D2718" w:rsidRDefault="005D2718" w:rsidP="00875E69">
      <w:pPr>
        <w:spacing w:line="360" w:lineRule="auto"/>
        <w:jc w:val="center"/>
        <w:rPr>
          <w:rFonts w:ascii="Times New Roman" w:hAnsi="Times New Roman" w:cs="Times New Roman"/>
          <w:b/>
          <w:sz w:val="24"/>
          <w:szCs w:val="24"/>
        </w:rPr>
      </w:pPr>
    </w:p>
    <w:p w14:paraId="7405047D" w14:textId="77777777" w:rsidR="00067857" w:rsidRDefault="00067857" w:rsidP="00875E69">
      <w:pPr>
        <w:spacing w:line="360" w:lineRule="auto"/>
        <w:contextualSpacing/>
        <w:jc w:val="center"/>
        <w:outlineLvl w:val="0"/>
        <w:rPr>
          <w:rFonts w:ascii="Times New Roman" w:hAnsi="Times New Roman"/>
          <w:b/>
          <w:color w:val="000000" w:themeColor="text1"/>
          <w:sz w:val="22"/>
          <w:szCs w:val="22"/>
        </w:rPr>
      </w:pPr>
    </w:p>
    <w:p w14:paraId="6EE7CA12" w14:textId="77777777" w:rsidR="00067857" w:rsidRDefault="00067857" w:rsidP="00875E69">
      <w:pPr>
        <w:spacing w:line="360" w:lineRule="auto"/>
        <w:contextualSpacing/>
        <w:jc w:val="center"/>
        <w:outlineLvl w:val="0"/>
        <w:rPr>
          <w:rFonts w:ascii="Times New Roman" w:hAnsi="Times New Roman"/>
          <w:b/>
          <w:color w:val="000000" w:themeColor="text1"/>
          <w:sz w:val="22"/>
          <w:szCs w:val="22"/>
        </w:rPr>
      </w:pPr>
    </w:p>
    <w:p w14:paraId="29B14517" w14:textId="77777777" w:rsidR="00067857" w:rsidRDefault="00067857" w:rsidP="00875E69">
      <w:pPr>
        <w:spacing w:line="360" w:lineRule="auto"/>
        <w:contextualSpacing/>
        <w:jc w:val="center"/>
        <w:outlineLvl w:val="0"/>
        <w:rPr>
          <w:rFonts w:ascii="Times New Roman" w:hAnsi="Times New Roman"/>
          <w:b/>
          <w:color w:val="000000" w:themeColor="text1"/>
          <w:sz w:val="22"/>
          <w:szCs w:val="22"/>
        </w:rPr>
      </w:pPr>
    </w:p>
    <w:p w14:paraId="6E4EE80A" w14:textId="77777777" w:rsidR="00067857" w:rsidRDefault="00067857" w:rsidP="00875E69">
      <w:pPr>
        <w:spacing w:line="360" w:lineRule="auto"/>
        <w:contextualSpacing/>
        <w:jc w:val="center"/>
        <w:outlineLvl w:val="0"/>
        <w:rPr>
          <w:rFonts w:ascii="Times New Roman" w:hAnsi="Times New Roman"/>
          <w:b/>
          <w:color w:val="000000" w:themeColor="text1"/>
          <w:sz w:val="22"/>
          <w:szCs w:val="22"/>
        </w:rPr>
      </w:pPr>
    </w:p>
    <w:p w14:paraId="06E9C392" w14:textId="77777777" w:rsidR="00067857" w:rsidRDefault="00067857" w:rsidP="00875E69">
      <w:pPr>
        <w:spacing w:line="360" w:lineRule="auto"/>
        <w:contextualSpacing/>
        <w:jc w:val="center"/>
        <w:outlineLvl w:val="0"/>
        <w:rPr>
          <w:rFonts w:ascii="Times New Roman" w:hAnsi="Times New Roman"/>
          <w:b/>
          <w:color w:val="000000" w:themeColor="text1"/>
          <w:sz w:val="22"/>
          <w:szCs w:val="22"/>
        </w:rPr>
      </w:pPr>
    </w:p>
    <w:p w14:paraId="2CE6B124" w14:textId="6428A90A" w:rsidR="00C51C00" w:rsidRPr="00FC1948" w:rsidRDefault="00C51C00" w:rsidP="00875E69">
      <w:pPr>
        <w:spacing w:line="360" w:lineRule="auto"/>
        <w:contextualSpacing/>
        <w:jc w:val="center"/>
        <w:outlineLvl w:val="0"/>
        <w:rPr>
          <w:rFonts w:ascii="Times New Roman" w:hAnsi="Times New Roman"/>
          <w:b/>
          <w:color w:val="000000" w:themeColor="text1"/>
          <w:sz w:val="22"/>
          <w:szCs w:val="22"/>
        </w:rPr>
      </w:pPr>
      <w:r w:rsidRPr="00FC1948">
        <w:rPr>
          <w:rFonts w:ascii="Times New Roman" w:hAnsi="Times New Roman"/>
          <w:b/>
          <w:color w:val="000000" w:themeColor="text1"/>
          <w:sz w:val="22"/>
          <w:szCs w:val="22"/>
        </w:rPr>
        <w:lastRenderedPageBreak/>
        <w:t>Table 1. Characteristics of Basic Research Subjects</w:t>
      </w:r>
    </w:p>
    <w:tbl>
      <w:tblPr>
        <w:tblStyle w:val="TableGrid"/>
        <w:tblW w:w="733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68"/>
        <w:gridCol w:w="1476"/>
        <w:gridCol w:w="2693"/>
      </w:tblGrid>
      <w:tr w:rsidR="00C51C00" w:rsidRPr="00BA3896" w14:paraId="333A2D33" w14:textId="77777777" w:rsidTr="00BA3896">
        <w:trPr>
          <w:trHeight w:val="323"/>
        </w:trPr>
        <w:tc>
          <w:tcPr>
            <w:tcW w:w="3168" w:type="dxa"/>
            <w:vMerge w:val="restart"/>
            <w:tcBorders>
              <w:top w:val="single" w:sz="4" w:space="0" w:color="auto"/>
              <w:bottom w:val="single" w:sz="4" w:space="0" w:color="auto"/>
            </w:tcBorders>
            <w:shd w:val="clear" w:color="auto" w:fill="7F7F7F" w:themeFill="text1" w:themeFillTint="80"/>
            <w:vAlign w:val="center"/>
          </w:tcPr>
          <w:p w14:paraId="29268D6B" w14:textId="77777777" w:rsidR="00C51C00" w:rsidRPr="00BA3896" w:rsidRDefault="00C51C00" w:rsidP="00875E69">
            <w:pPr>
              <w:spacing w:line="360" w:lineRule="auto"/>
              <w:contextualSpacing/>
              <w:jc w:val="center"/>
              <w:rPr>
                <w:rFonts w:ascii="Times New Roman" w:hAnsi="Times New Roman" w:cs="Times New Roman"/>
                <w:b/>
                <w:bCs/>
                <w:color w:val="000000" w:themeColor="text1"/>
                <w:sz w:val="22"/>
                <w:szCs w:val="22"/>
              </w:rPr>
            </w:pPr>
            <w:r w:rsidRPr="00BA3896">
              <w:rPr>
                <w:rFonts w:ascii="Times New Roman" w:hAnsi="Times New Roman" w:cs="Times New Roman"/>
                <w:b/>
                <w:bCs/>
                <w:color w:val="000000" w:themeColor="text1"/>
                <w:sz w:val="22"/>
                <w:szCs w:val="22"/>
              </w:rPr>
              <w:t>characteristics</w:t>
            </w:r>
          </w:p>
        </w:tc>
        <w:tc>
          <w:tcPr>
            <w:tcW w:w="4169" w:type="dxa"/>
            <w:gridSpan w:val="2"/>
            <w:tcBorders>
              <w:top w:val="single" w:sz="4" w:space="0" w:color="auto"/>
              <w:bottom w:val="single" w:sz="4" w:space="0" w:color="auto"/>
            </w:tcBorders>
            <w:shd w:val="clear" w:color="auto" w:fill="7F7F7F" w:themeFill="text1" w:themeFillTint="80"/>
            <w:vAlign w:val="center"/>
          </w:tcPr>
          <w:p w14:paraId="470C0575" w14:textId="77777777" w:rsidR="00C51C00" w:rsidRPr="00BA3896" w:rsidRDefault="00C51C00" w:rsidP="00875E69">
            <w:pPr>
              <w:spacing w:line="360" w:lineRule="auto"/>
              <w:contextualSpacing/>
              <w:jc w:val="center"/>
              <w:rPr>
                <w:rFonts w:ascii="Times New Roman" w:hAnsi="Times New Roman" w:cs="Times New Roman"/>
                <w:b/>
                <w:bCs/>
                <w:color w:val="000000" w:themeColor="text1"/>
                <w:sz w:val="22"/>
                <w:szCs w:val="22"/>
              </w:rPr>
            </w:pPr>
            <w:r w:rsidRPr="00BA3896">
              <w:rPr>
                <w:rFonts w:ascii="Times New Roman" w:hAnsi="Times New Roman" w:cs="Times New Roman"/>
                <w:b/>
                <w:bCs/>
                <w:color w:val="000000" w:themeColor="text1"/>
                <w:sz w:val="22"/>
                <w:szCs w:val="22"/>
              </w:rPr>
              <w:t>N = 30</w:t>
            </w:r>
          </w:p>
        </w:tc>
      </w:tr>
      <w:tr w:rsidR="00C51C00" w:rsidRPr="00BA3896" w14:paraId="14FBA549" w14:textId="77777777" w:rsidTr="00BA3896">
        <w:trPr>
          <w:trHeight w:val="323"/>
        </w:trPr>
        <w:tc>
          <w:tcPr>
            <w:tcW w:w="3168" w:type="dxa"/>
            <w:vMerge/>
            <w:tcBorders>
              <w:top w:val="single" w:sz="4" w:space="0" w:color="auto"/>
              <w:bottom w:val="single" w:sz="4" w:space="0" w:color="auto"/>
            </w:tcBorders>
            <w:shd w:val="clear" w:color="auto" w:fill="7F7F7F" w:themeFill="text1" w:themeFillTint="80"/>
            <w:vAlign w:val="center"/>
          </w:tcPr>
          <w:p w14:paraId="59E4D33E" w14:textId="77777777" w:rsidR="00C51C00" w:rsidRPr="00BA3896" w:rsidRDefault="00C51C00" w:rsidP="00875E69">
            <w:pPr>
              <w:spacing w:line="360" w:lineRule="auto"/>
              <w:contextualSpacing/>
              <w:jc w:val="center"/>
              <w:rPr>
                <w:rFonts w:ascii="Times New Roman" w:hAnsi="Times New Roman" w:cs="Times New Roman"/>
                <w:b/>
                <w:bCs/>
                <w:color w:val="000000" w:themeColor="text1"/>
                <w:sz w:val="22"/>
                <w:szCs w:val="22"/>
              </w:rPr>
            </w:pPr>
          </w:p>
        </w:tc>
        <w:tc>
          <w:tcPr>
            <w:tcW w:w="1476" w:type="dxa"/>
            <w:tcBorders>
              <w:top w:val="single" w:sz="4" w:space="0" w:color="auto"/>
              <w:bottom w:val="single" w:sz="4" w:space="0" w:color="auto"/>
            </w:tcBorders>
            <w:shd w:val="clear" w:color="auto" w:fill="7F7F7F" w:themeFill="text1" w:themeFillTint="80"/>
            <w:vAlign w:val="center"/>
          </w:tcPr>
          <w:p w14:paraId="3A88E9EF" w14:textId="77777777" w:rsidR="00C51C00" w:rsidRPr="00BA3896" w:rsidRDefault="00C51C00" w:rsidP="00875E69">
            <w:pPr>
              <w:spacing w:line="360" w:lineRule="auto"/>
              <w:contextualSpacing/>
              <w:jc w:val="center"/>
              <w:rPr>
                <w:rFonts w:ascii="Times New Roman" w:hAnsi="Times New Roman" w:cs="Times New Roman"/>
                <w:b/>
                <w:bCs/>
                <w:color w:val="000000" w:themeColor="text1"/>
                <w:sz w:val="22"/>
                <w:szCs w:val="22"/>
              </w:rPr>
            </w:pPr>
            <w:r w:rsidRPr="00BA3896">
              <w:rPr>
                <w:rFonts w:ascii="Times New Roman" w:hAnsi="Times New Roman" w:cs="Times New Roman"/>
                <w:b/>
                <w:bCs/>
                <w:color w:val="000000" w:themeColor="text1"/>
                <w:sz w:val="22"/>
                <w:szCs w:val="22"/>
              </w:rPr>
              <w:t>n (%)</w:t>
            </w:r>
          </w:p>
        </w:tc>
        <w:tc>
          <w:tcPr>
            <w:tcW w:w="2693" w:type="dxa"/>
            <w:tcBorders>
              <w:top w:val="single" w:sz="4" w:space="0" w:color="auto"/>
              <w:bottom w:val="single" w:sz="4" w:space="0" w:color="auto"/>
            </w:tcBorders>
            <w:shd w:val="clear" w:color="auto" w:fill="7F7F7F" w:themeFill="text1" w:themeFillTint="80"/>
            <w:vAlign w:val="center"/>
          </w:tcPr>
          <w:p w14:paraId="31834BB1" w14:textId="77777777" w:rsidR="00C51C00" w:rsidRPr="00BA3896" w:rsidRDefault="00C51C00" w:rsidP="00875E69">
            <w:pPr>
              <w:spacing w:line="360" w:lineRule="auto"/>
              <w:contextualSpacing/>
              <w:jc w:val="center"/>
              <w:rPr>
                <w:rFonts w:ascii="Times New Roman" w:hAnsi="Times New Roman" w:cs="Times New Roman"/>
                <w:b/>
                <w:bCs/>
                <w:color w:val="000000" w:themeColor="text1"/>
                <w:sz w:val="22"/>
                <w:szCs w:val="22"/>
              </w:rPr>
            </w:pPr>
            <w:r w:rsidRPr="00BA3896">
              <w:rPr>
                <w:rFonts w:ascii="Times New Roman" w:hAnsi="Times New Roman" w:cs="Times New Roman"/>
                <w:b/>
                <w:bCs/>
                <w:color w:val="000000" w:themeColor="text1"/>
                <w:sz w:val="22"/>
                <w:szCs w:val="22"/>
              </w:rPr>
              <w:t>Median (Min-Max)</w:t>
            </w:r>
          </w:p>
        </w:tc>
      </w:tr>
      <w:tr w:rsidR="00C51C00" w:rsidRPr="00BA3896" w14:paraId="74CDB358" w14:textId="77777777" w:rsidTr="00C51C00">
        <w:tc>
          <w:tcPr>
            <w:tcW w:w="3168" w:type="dxa"/>
            <w:tcBorders>
              <w:top w:val="single" w:sz="4" w:space="0" w:color="auto"/>
            </w:tcBorders>
          </w:tcPr>
          <w:p w14:paraId="1500AF26" w14:textId="77777777" w:rsidR="00C51C00" w:rsidRPr="00BA3896" w:rsidRDefault="00C51C00" w:rsidP="00875E69">
            <w:pPr>
              <w:spacing w:line="360" w:lineRule="auto"/>
              <w:contextualSpacing/>
              <w:jc w:val="both"/>
              <w:rPr>
                <w:rFonts w:ascii="Times New Roman" w:hAnsi="Times New Roman" w:cs="Times New Roman"/>
                <w:color w:val="000000" w:themeColor="text1"/>
                <w:sz w:val="22"/>
                <w:szCs w:val="22"/>
              </w:rPr>
            </w:pPr>
            <w:bookmarkStart w:id="4" w:name="OLE_LINK6"/>
            <w:r w:rsidRPr="00BA3896">
              <w:rPr>
                <w:rFonts w:ascii="Times New Roman" w:hAnsi="Times New Roman" w:cs="Times New Roman"/>
                <w:color w:val="000000" w:themeColor="text1"/>
                <w:sz w:val="22"/>
                <w:szCs w:val="22"/>
              </w:rPr>
              <w:t>Age (years)</w:t>
            </w:r>
          </w:p>
        </w:tc>
        <w:tc>
          <w:tcPr>
            <w:tcW w:w="1476" w:type="dxa"/>
            <w:tcBorders>
              <w:top w:val="single" w:sz="4" w:space="0" w:color="auto"/>
            </w:tcBorders>
          </w:tcPr>
          <w:p w14:paraId="564BFF2C"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p>
        </w:tc>
        <w:tc>
          <w:tcPr>
            <w:tcW w:w="2693" w:type="dxa"/>
            <w:tcBorders>
              <w:top w:val="single" w:sz="4" w:space="0" w:color="auto"/>
            </w:tcBorders>
          </w:tcPr>
          <w:p w14:paraId="3C8927EE"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22 (20-24)</w:t>
            </w:r>
          </w:p>
        </w:tc>
      </w:tr>
      <w:tr w:rsidR="00C51C00" w:rsidRPr="00BA3896" w14:paraId="417AF79A" w14:textId="77777777" w:rsidTr="00C51C00">
        <w:tc>
          <w:tcPr>
            <w:tcW w:w="3168" w:type="dxa"/>
          </w:tcPr>
          <w:p w14:paraId="126627AA" w14:textId="77777777" w:rsidR="00C51C00" w:rsidRPr="00BA3896" w:rsidRDefault="00C51C00" w:rsidP="00875E69">
            <w:pPr>
              <w:spacing w:line="360" w:lineRule="auto"/>
              <w:contextualSpacing/>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Gender</w:t>
            </w:r>
          </w:p>
          <w:p w14:paraId="740C5F6C" w14:textId="77777777" w:rsidR="00C51C00" w:rsidRPr="00BA3896" w:rsidRDefault="00C51C00" w:rsidP="00875E69">
            <w:pPr>
              <w:spacing w:line="360" w:lineRule="auto"/>
              <w:ind w:left="284"/>
              <w:contextualSpacing/>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Man</w:t>
            </w:r>
          </w:p>
          <w:p w14:paraId="19B5BB0E" w14:textId="77777777" w:rsidR="00C51C00" w:rsidRPr="00BA3896" w:rsidRDefault="00C51C00" w:rsidP="00875E69">
            <w:pPr>
              <w:spacing w:line="360" w:lineRule="auto"/>
              <w:ind w:left="284"/>
              <w:contextualSpacing/>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woman</w:t>
            </w:r>
          </w:p>
        </w:tc>
        <w:tc>
          <w:tcPr>
            <w:tcW w:w="1476" w:type="dxa"/>
          </w:tcPr>
          <w:p w14:paraId="6BD5D5A2"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p>
          <w:p w14:paraId="0571A7FC"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9 (30.0)</w:t>
            </w:r>
          </w:p>
          <w:p w14:paraId="74461309"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21 (70.0)</w:t>
            </w:r>
          </w:p>
        </w:tc>
        <w:tc>
          <w:tcPr>
            <w:tcW w:w="2693" w:type="dxa"/>
          </w:tcPr>
          <w:p w14:paraId="3F552BB8"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p>
        </w:tc>
      </w:tr>
      <w:tr w:rsidR="00C51C00" w:rsidRPr="00BA3896" w14:paraId="5C7ACAAD" w14:textId="77777777" w:rsidTr="00C51C00">
        <w:tc>
          <w:tcPr>
            <w:tcW w:w="3168" w:type="dxa"/>
          </w:tcPr>
          <w:p w14:paraId="2579ACE8" w14:textId="77777777" w:rsidR="00C51C00" w:rsidRPr="00BA3896" w:rsidRDefault="00C51C00" w:rsidP="00875E69">
            <w:pPr>
              <w:spacing w:line="360" w:lineRule="auto"/>
              <w:contextualSpacing/>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BMI (kg / m2)</w:t>
            </w:r>
          </w:p>
        </w:tc>
        <w:tc>
          <w:tcPr>
            <w:tcW w:w="1476" w:type="dxa"/>
          </w:tcPr>
          <w:p w14:paraId="47EB1194" w14:textId="77777777" w:rsidR="00C51C00" w:rsidRPr="00BA3896" w:rsidRDefault="00C51C00" w:rsidP="00875E69">
            <w:pPr>
              <w:spacing w:line="360" w:lineRule="auto"/>
              <w:contextualSpacing/>
              <w:jc w:val="center"/>
              <w:rPr>
                <w:rFonts w:ascii="Times New Roman" w:hAnsi="Times New Roman" w:cs="Times New Roman"/>
                <w:b/>
                <w:bCs/>
                <w:color w:val="000000" w:themeColor="text1"/>
                <w:sz w:val="22"/>
                <w:szCs w:val="22"/>
              </w:rPr>
            </w:pPr>
          </w:p>
        </w:tc>
        <w:tc>
          <w:tcPr>
            <w:tcW w:w="2693" w:type="dxa"/>
          </w:tcPr>
          <w:p w14:paraId="200E37AE"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21.8 (17.9 to 33.8)</w:t>
            </w:r>
          </w:p>
        </w:tc>
      </w:tr>
      <w:tr w:rsidR="00C51C00" w:rsidRPr="00BA3896" w14:paraId="1B754B21" w14:textId="77777777" w:rsidTr="00C51C00">
        <w:tc>
          <w:tcPr>
            <w:tcW w:w="3168" w:type="dxa"/>
          </w:tcPr>
          <w:p w14:paraId="6DBE3F16" w14:textId="77777777" w:rsidR="00C51C00" w:rsidRPr="00BA3896" w:rsidRDefault="00C51C00" w:rsidP="00875E69">
            <w:pPr>
              <w:spacing w:line="360" w:lineRule="auto"/>
              <w:contextualSpacing/>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classification BMI</w:t>
            </w:r>
          </w:p>
          <w:p w14:paraId="368732F1" w14:textId="77777777" w:rsidR="00C51C00" w:rsidRPr="00BA3896" w:rsidRDefault="00C51C00" w:rsidP="00875E69">
            <w:pPr>
              <w:spacing w:line="360" w:lineRule="auto"/>
              <w:ind w:left="284"/>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Underweight (&lt;18.5 kg / m2)</w:t>
            </w:r>
          </w:p>
          <w:p w14:paraId="7BBA1C71" w14:textId="77777777" w:rsidR="00C51C00" w:rsidRPr="00BA3896" w:rsidRDefault="00C51C00" w:rsidP="00875E69">
            <w:pPr>
              <w:spacing w:line="360" w:lineRule="auto"/>
              <w:ind w:left="284"/>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Normal (18.5 to 22.9 kg / m2)</w:t>
            </w:r>
          </w:p>
          <w:p w14:paraId="2DE21389" w14:textId="77777777" w:rsidR="00C51C00" w:rsidRPr="00BA3896" w:rsidRDefault="00C51C00" w:rsidP="00875E69">
            <w:pPr>
              <w:spacing w:line="360" w:lineRule="auto"/>
              <w:ind w:left="284"/>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Overweight (23 to 24.5 kg / m2)</w:t>
            </w:r>
          </w:p>
          <w:p w14:paraId="55144B9B" w14:textId="6DD0FB31" w:rsidR="00C51C00" w:rsidRPr="00BA3896" w:rsidRDefault="00C51C00" w:rsidP="00875E69">
            <w:pPr>
              <w:spacing w:line="360" w:lineRule="auto"/>
              <w:ind w:left="284"/>
              <w:contextualSpacing/>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Obesity (≥ 25 kg / m2)</w:t>
            </w:r>
          </w:p>
        </w:tc>
        <w:tc>
          <w:tcPr>
            <w:tcW w:w="1476" w:type="dxa"/>
          </w:tcPr>
          <w:p w14:paraId="06A5552D" w14:textId="77777777" w:rsidR="00C51C00" w:rsidRPr="00BA3896" w:rsidRDefault="00C51C00" w:rsidP="00875E69">
            <w:pPr>
              <w:spacing w:line="360" w:lineRule="auto"/>
              <w:contextualSpacing/>
              <w:jc w:val="center"/>
              <w:rPr>
                <w:rFonts w:ascii="Times New Roman" w:hAnsi="Times New Roman" w:cs="Times New Roman"/>
                <w:b/>
                <w:bCs/>
                <w:color w:val="000000" w:themeColor="text1"/>
                <w:sz w:val="22"/>
                <w:szCs w:val="22"/>
              </w:rPr>
            </w:pPr>
            <w:r w:rsidRPr="00BA3896">
              <w:rPr>
                <w:rFonts w:ascii="Times New Roman" w:hAnsi="Times New Roman" w:cs="Times New Roman"/>
                <w:b/>
                <w:bCs/>
                <w:color w:val="000000" w:themeColor="text1"/>
                <w:sz w:val="22"/>
                <w:szCs w:val="22"/>
              </w:rPr>
              <w:t>n = 27</w:t>
            </w:r>
          </w:p>
          <w:p w14:paraId="0FC146FD"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1 (3.7)</w:t>
            </w:r>
          </w:p>
          <w:p w14:paraId="04CD0EC3"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15 (55.6)</w:t>
            </w:r>
          </w:p>
          <w:p w14:paraId="49BC00D1"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6 (22.2)</w:t>
            </w:r>
          </w:p>
          <w:p w14:paraId="4C7831AF"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5 (18.5)</w:t>
            </w:r>
          </w:p>
        </w:tc>
        <w:tc>
          <w:tcPr>
            <w:tcW w:w="2693" w:type="dxa"/>
          </w:tcPr>
          <w:p w14:paraId="3A16E5A9"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p>
        </w:tc>
      </w:tr>
      <w:tr w:rsidR="00C51C00" w:rsidRPr="00BA3896" w14:paraId="2F5F9A55" w14:textId="77777777" w:rsidTr="00C51C00">
        <w:tc>
          <w:tcPr>
            <w:tcW w:w="3168" w:type="dxa"/>
          </w:tcPr>
          <w:p w14:paraId="7DCFF672" w14:textId="77777777" w:rsidR="00C51C00" w:rsidRPr="00BA3896" w:rsidRDefault="00C51C00" w:rsidP="00875E69">
            <w:pPr>
              <w:spacing w:line="360" w:lineRule="auto"/>
              <w:contextualSpacing/>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Allergy history</w:t>
            </w:r>
          </w:p>
        </w:tc>
        <w:tc>
          <w:tcPr>
            <w:tcW w:w="1476" w:type="dxa"/>
          </w:tcPr>
          <w:p w14:paraId="2E2E5BDE"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11 (36.7)</w:t>
            </w:r>
          </w:p>
        </w:tc>
        <w:tc>
          <w:tcPr>
            <w:tcW w:w="2693" w:type="dxa"/>
          </w:tcPr>
          <w:p w14:paraId="43870F37"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p>
        </w:tc>
      </w:tr>
      <w:tr w:rsidR="00C51C00" w:rsidRPr="00BA3896" w14:paraId="0D7D5E88" w14:textId="77777777" w:rsidTr="00C51C00">
        <w:tc>
          <w:tcPr>
            <w:tcW w:w="3168" w:type="dxa"/>
          </w:tcPr>
          <w:p w14:paraId="01B07132" w14:textId="77777777" w:rsidR="00C51C00" w:rsidRPr="00BA3896" w:rsidRDefault="00C51C00" w:rsidP="00875E69">
            <w:pPr>
              <w:spacing w:line="360" w:lineRule="auto"/>
              <w:contextualSpacing/>
              <w:jc w:val="both"/>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History Diphtheria</w:t>
            </w:r>
          </w:p>
        </w:tc>
        <w:tc>
          <w:tcPr>
            <w:tcW w:w="1476" w:type="dxa"/>
          </w:tcPr>
          <w:p w14:paraId="68F3351F"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r w:rsidRPr="00BA3896">
              <w:rPr>
                <w:rFonts w:ascii="Times New Roman" w:hAnsi="Times New Roman" w:cs="Times New Roman"/>
                <w:color w:val="000000" w:themeColor="text1"/>
                <w:sz w:val="22"/>
                <w:szCs w:val="22"/>
              </w:rPr>
              <w:t>28 (93.3)</w:t>
            </w:r>
          </w:p>
        </w:tc>
        <w:tc>
          <w:tcPr>
            <w:tcW w:w="2693" w:type="dxa"/>
          </w:tcPr>
          <w:p w14:paraId="5549DBAD" w14:textId="77777777" w:rsidR="00C51C00" w:rsidRPr="00BA3896" w:rsidRDefault="00C51C00" w:rsidP="00875E69">
            <w:pPr>
              <w:spacing w:line="360" w:lineRule="auto"/>
              <w:contextualSpacing/>
              <w:jc w:val="center"/>
              <w:rPr>
                <w:rFonts w:ascii="Times New Roman" w:hAnsi="Times New Roman" w:cs="Times New Roman"/>
                <w:color w:val="000000" w:themeColor="text1"/>
                <w:sz w:val="22"/>
                <w:szCs w:val="22"/>
              </w:rPr>
            </w:pPr>
          </w:p>
        </w:tc>
      </w:tr>
    </w:tbl>
    <w:p w14:paraId="1DA0435A" w14:textId="77777777" w:rsidR="00C51C00" w:rsidRPr="00BA3896" w:rsidRDefault="00C51C00" w:rsidP="00875E69">
      <w:pPr>
        <w:spacing w:line="360" w:lineRule="auto"/>
        <w:jc w:val="center"/>
        <w:rPr>
          <w:rFonts w:ascii="Times New Roman" w:hAnsi="Times New Roman"/>
          <w:b/>
          <w:color w:val="000000" w:themeColor="text1"/>
        </w:rPr>
      </w:pPr>
    </w:p>
    <w:bookmarkEnd w:id="4"/>
    <w:p w14:paraId="33EA2329" w14:textId="0AC2171C" w:rsidR="00BA3896" w:rsidRPr="00F416BE" w:rsidRDefault="003278EC" w:rsidP="001A1360">
      <w:pPr>
        <w:spacing w:line="360" w:lineRule="auto"/>
        <w:ind w:firstLine="720"/>
        <w:jc w:val="both"/>
        <w:rPr>
          <w:rFonts w:ascii="Times New Roman" w:hAnsi="Times New Roman" w:cs="Times New Roman"/>
          <w:color w:val="000000" w:themeColor="text1"/>
          <w:sz w:val="24"/>
          <w:szCs w:val="24"/>
        </w:rPr>
      </w:pPr>
      <w:r w:rsidRPr="003278EC">
        <w:rPr>
          <w:rFonts w:ascii="Times New Roman" w:hAnsi="Times New Roman" w:cs="Times New Roman"/>
          <w:sz w:val="24"/>
          <w:szCs w:val="24"/>
        </w:rPr>
        <w:t xml:space="preserve">Antibody levels were the result of an immune response is also influenced by nutritional status. Most of the subjects had normal BMI is 21.8 (17.9 to 33.8). The possibility of </w:t>
      </w:r>
      <w:proofErr w:type="spellStart"/>
      <w:r w:rsidRPr="003278EC">
        <w:rPr>
          <w:rFonts w:ascii="Times New Roman" w:hAnsi="Times New Roman" w:cs="Times New Roman"/>
          <w:sz w:val="24"/>
          <w:szCs w:val="24"/>
        </w:rPr>
        <w:t>Kipi</w:t>
      </w:r>
      <w:proofErr w:type="spellEnd"/>
      <w:r w:rsidRPr="003278EC">
        <w:rPr>
          <w:rFonts w:ascii="Times New Roman" w:hAnsi="Times New Roman" w:cs="Times New Roman"/>
          <w:sz w:val="24"/>
          <w:szCs w:val="24"/>
        </w:rPr>
        <w:t xml:space="preserve"> </w:t>
      </w:r>
      <w:r w:rsidR="00F44B2C">
        <w:rPr>
          <w:rFonts w:ascii="Times New Roman" w:hAnsi="Times New Roman" w:cs="Times New Roman"/>
          <w:sz w:val="24"/>
          <w:szCs w:val="24"/>
          <w:lang w:val="id-ID"/>
        </w:rPr>
        <w:t>is influenced by</w:t>
      </w:r>
      <w:r w:rsidRPr="00F416BE">
        <w:rPr>
          <w:rFonts w:ascii="Times New Roman" w:hAnsi="Times New Roman" w:cs="Times New Roman"/>
          <w:color w:val="000000" w:themeColor="text1"/>
          <w:sz w:val="24"/>
          <w:szCs w:val="24"/>
        </w:rPr>
        <w:t xml:space="preserve"> </w:t>
      </w:r>
      <w:r w:rsidR="001A1360">
        <w:rPr>
          <w:rFonts w:ascii="Times New Roman" w:hAnsi="Times New Roman" w:cs="Times New Roman"/>
          <w:color w:val="000000" w:themeColor="text1"/>
          <w:sz w:val="24"/>
          <w:szCs w:val="24"/>
        </w:rPr>
        <w:t xml:space="preserve">the </w:t>
      </w:r>
      <w:r w:rsidRPr="00F416BE">
        <w:rPr>
          <w:rFonts w:ascii="Times New Roman" w:hAnsi="Times New Roman" w:cs="Times New Roman"/>
          <w:color w:val="000000" w:themeColor="text1"/>
          <w:sz w:val="24"/>
          <w:szCs w:val="24"/>
        </w:rPr>
        <w:t xml:space="preserve">previous history of allergies, in this study, 11 people. Levels of antibodies against diphtheria toxin </w:t>
      </w:r>
      <w:r w:rsidR="001A1360">
        <w:rPr>
          <w:rFonts w:ascii="Times New Roman" w:hAnsi="Times New Roman" w:cs="Times New Roman"/>
          <w:color w:val="000000" w:themeColor="text1"/>
          <w:sz w:val="24"/>
          <w:szCs w:val="24"/>
        </w:rPr>
        <w:t>are</w:t>
      </w:r>
      <w:r w:rsidRPr="00F416BE">
        <w:rPr>
          <w:rFonts w:ascii="Times New Roman" w:hAnsi="Times New Roman" w:cs="Times New Roman"/>
          <w:color w:val="000000" w:themeColor="text1"/>
          <w:sz w:val="24"/>
          <w:szCs w:val="24"/>
        </w:rPr>
        <w:t xml:space="preserve"> also influenced by the previous diphtheria immunization history. Most of the study subjects had a history of diphtheria immunization is 28 people.</w:t>
      </w:r>
    </w:p>
    <w:p w14:paraId="0EF21E53" w14:textId="77777777" w:rsidR="001A1360" w:rsidRDefault="003110CD" w:rsidP="001A1360">
      <w:pPr>
        <w:spacing w:line="360" w:lineRule="auto"/>
        <w:ind w:firstLine="720"/>
        <w:contextualSpacing/>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In Table 2 shows the difference in antibody responses to diphtheria toxin pre- and post-immunization Td, ie antibody diphtheria pre-immunization of 0.323 IU / mL with a range of 0.000 to 3.465 IU / mL, then post-immunization is no increase is 1.029 IU / mL with a range of 0.111 - 4.321 IU / </w:t>
      </w:r>
      <w:proofErr w:type="spellStart"/>
      <w:r>
        <w:rPr>
          <w:rFonts w:ascii="Times New Roman" w:hAnsi="Times New Roman"/>
          <w:bCs/>
          <w:color w:val="000000" w:themeColor="text1"/>
          <w:sz w:val="24"/>
          <w:szCs w:val="24"/>
        </w:rPr>
        <w:t>mL.</w:t>
      </w:r>
      <w:proofErr w:type="spellEnd"/>
    </w:p>
    <w:p w14:paraId="2399B411" w14:textId="5C3F998A" w:rsidR="00900C33" w:rsidRDefault="00AD1511" w:rsidP="001A1360">
      <w:pPr>
        <w:spacing w:line="360" w:lineRule="auto"/>
        <w:ind w:firstLine="720"/>
        <w:contextualSpacing/>
        <w:jc w:val="both"/>
        <w:rPr>
          <w:rFonts w:ascii="Times New Roman" w:hAnsi="Times New Roman"/>
          <w:bCs/>
          <w:color w:val="000000" w:themeColor="text1"/>
          <w:sz w:val="24"/>
          <w:szCs w:val="24"/>
        </w:rPr>
      </w:pPr>
      <w:r>
        <w:rPr>
          <w:rFonts w:ascii="Times New Roman" w:hAnsi="Times New Roman"/>
          <w:bCs/>
          <w:color w:val="000000" w:themeColor="text1"/>
          <w:sz w:val="24"/>
          <w:szCs w:val="24"/>
        </w:rPr>
        <w:t>Under the category of anti-diphtheria antibody responses in immunized pre categories no protection as much as 1 (3.3%), the cut-off protection (</w:t>
      </w:r>
      <w:r w:rsidR="00C914B2" w:rsidRPr="00F416BE">
        <w:rPr>
          <w:rFonts w:ascii="Times New Roman" w:hAnsi="Times New Roman" w:cs="Times New Roman"/>
          <w:bCs/>
          <w:color w:val="000000" w:themeColor="text1"/>
          <w:sz w:val="24"/>
          <w:szCs w:val="24"/>
        </w:rPr>
        <w:t>≥</w:t>
      </w:r>
      <w:r w:rsidR="00C914B2" w:rsidRPr="00F416BE">
        <w:rPr>
          <w:rFonts w:ascii="Times New Roman" w:hAnsi="Times New Roman"/>
          <w:bCs/>
          <w:color w:val="000000" w:themeColor="text1"/>
          <w:sz w:val="24"/>
          <w:szCs w:val="24"/>
        </w:rPr>
        <w:t>0.01 IU / mL) 6 (20.0%) and Longterm Protection (≥0,1 IU / mL) as many as 23 people (76.7%), post-immunization as many as 30 (100.0%) to Longterm Protection (≥0,1 IU / mL).</w:t>
      </w:r>
    </w:p>
    <w:p w14:paraId="419C5BF8" w14:textId="1A607E07" w:rsidR="005D2718" w:rsidRPr="003110CD" w:rsidRDefault="00900C33" w:rsidP="00875E69">
      <w:pPr>
        <w:spacing w:line="360" w:lineRule="auto"/>
        <w:contextualSpacing/>
        <w:jc w:val="both"/>
        <w:rPr>
          <w:rFonts w:ascii="Times New Roman" w:hAnsi="Times New Roman"/>
          <w:bCs/>
          <w:color w:val="000000" w:themeColor="text1"/>
          <w:sz w:val="24"/>
          <w:szCs w:val="24"/>
        </w:rPr>
      </w:pPr>
      <w:r>
        <w:rPr>
          <w:rFonts w:ascii="Times New Roman" w:hAnsi="Times New Roman"/>
          <w:bCs/>
          <w:color w:val="000000" w:themeColor="text1"/>
          <w:sz w:val="24"/>
          <w:szCs w:val="24"/>
        </w:rPr>
        <w:t>There is one subject who experienced a change from seronegative become seropositive with increased high into long-term protection. The resulting increase in antibody levels that increase post-immunization titers ≥ 4 times gained as much as 8 people.</w:t>
      </w:r>
    </w:p>
    <w:p w14:paraId="4D45CB5E" w14:textId="5DA8827B" w:rsidR="00C51C00" w:rsidRPr="00F416BE" w:rsidRDefault="00C51C00" w:rsidP="00875E69">
      <w:pPr>
        <w:spacing w:line="360" w:lineRule="auto"/>
        <w:contextualSpacing/>
        <w:outlineLvl w:val="0"/>
        <w:rPr>
          <w:rFonts w:ascii="Times New Roman" w:hAnsi="Times New Roman"/>
          <w:b/>
          <w:color w:val="000000" w:themeColor="text1"/>
        </w:rPr>
      </w:pPr>
      <w:r w:rsidRPr="00F416BE">
        <w:rPr>
          <w:rFonts w:ascii="Times New Roman" w:hAnsi="Times New Roman"/>
          <w:b/>
          <w:color w:val="000000" w:themeColor="text1"/>
          <w:sz w:val="22"/>
          <w:szCs w:val="22"/>
        </w:rPr>
        <w:lastRenderedPageBreak/>
        <w:t>Table 2.</w:t>
      </w:r>
      <w:r w:rsidRPr="00F416BE">
        <w:rPr>
          <w:rFonts w:ascii="Times New Roman" w:hAnsi="Times New Roman"/>
          <w:color w:val="000000" w:themeColor="text1"/>
          <w:sz w:val="22"/>
          <w:szCs w:val="22"/>
        </w:rPr>
        <w:t xml:space="preserve"> Antibody Response Against Diphtheria Toxin, Pre- and Post-Immunization Td</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2268"/>
        <w:gridCol w:w="2126"/>
      </w:tblGrid>
      <w:tr w:rsidR="00C51C00" w:rsidRPr="00F416BE" w14:paraId="1D604E8B" w14:textId="77777777" w:rsidTr="00C51C00">
        <w:trPr>
          <w:trHeight w:val="458"/>
        </w:trPr>
        <w:tc>
          <w:tcPr>
            <w:tcW w:w="3686" w:type="dxa"/>
            <w:tcBorders>
              <w:top w:val="single" w:sz="4" w:space="0" w:color="auto"/>
              <w:bottom w:val="single" w:sz="4" w:space="0" w:color="auto"/>
            </w:tcBorders>
            <w:vAlign w:val="center"/>
          </w:tcPr>
          <w:p w14:paraId="0997AEFE" w14:textId="77777777" w:rsidR="00C51C00" w:rsidRPr="00F416BE" w:rsidRDefault="00C51C00" w:rsidP="00875E69">
            <w:pPr>
              <w:spacing w:line="360" w:lineRule="auto"/>
              <w:contextualSpacing/>
              <w:jc w:val="center"/>
              <w:rPr>
                <w:rFonts w:ascii="Times New Roman" w:hAnsi="Times New Roman"/>
                <w:b/>
                <w:bCs/>
                <w:color w:val="000000" w:themeColor="text1"/>
              </w:rPr>
            </w:pPr>
            <w:bookmarkStart w:id="5" w:name="OLE_LINK7"/>
          </w:p>
        </w:tc>
        <w:tc>
          <w:tcPr>
            <w:tcW w:w="2268" w:type="dxa"/>
            <w:tcBorders>
              <w:top w:val="single" w:sz="4" w:space="0" w:color="auto"/>
              <w:bottom w:val="single" w:sz="4" w:space="0" w:color="auto"/>
            </w:tcBorders>
            <w:vAlign w:val="center"/>
          </w:tcPr>
          <w:p w14:paraId="1B20F196" w14:textId="77777777" w:rsidR="00C51C00" w:rsidRPr="00F416BE" w:rsidRDefault="00C51C00" w:rsidP="00875E69">
            <w:pPr>
              <w:tabs>
                <w:tab w:val="right" w:pos="2585"/>
              </w:tabs>
              <w:spacing w:line="360" w:lineRule="auto"/>
              <w:ind w:right="29"/>
              <w:contextualSpacing/>
              <w:jc w:val="center"/>
              <w:rPr>
                <w:rFonts w:ascii="Times New Roman" w:hAnsi="Times New Roman"/>
                <w:b/>
                <w:bCs/>
                <w:color w:val="000000" w:themeColor="text1"/>
              </w:rPr>
            </w:pPr>
            <w:r w:rsidRPr="00F416BE">
              <w:rPr>
                <w:rFonts w:ascii="Times New Roman" w:hAnsi="Times New Roman"/>
                <w:b/>
                <w:bCs/>
                <w:color w:val="000000" w:themeColor="text1"/>
              </w:rPr>
              <w:t>pre-immunization</w:t>
            </w:r>
          </w:p>
        </w:tc>
        <w:tc>
          <w:tcPr>
            <w:tcW w:w="2126" w:type="dxa"/>
            <w:tcBorders>
              <w:top w:val="single" w:sz="4" w:space="0" w:color="auto"/>
              <w:bottom w:val="single" w:sz="4" w:space="0" w:color="auto"/>
            </w:tcBorders>
            <w:vAlign w:val="center"/>
          </w:tcPr>
          <w:p w14:paraId="59E0BA84" w14:textId="77777777" w:rsidR="00C51C00" w:rsidRPr="00F416BE" w:rsidRDefault="00C51C00" w:rsidP="00875E69">
            <w:pPr>
              <w:tabs>
                <w:tab w:val="right" w:pos="2585"/>
              </w:tabs>
              <w:spacing w:line="360" w:lineRule="auto"/>
              <w:contextualSpacing/>
              <w:jc w:val="center"/>
              <w:rPr>
                <w:rFonts w:ascii="Times New Roman" w:hAnsi="Times New Roman"/>
                <w:b/>
                <w:bCs/>
                <w:color w:val="000000" w:themeColor="text1"/>
              </w:rPr>
            </w:pPr>
            <w:r w:rsidRPr="00F416BE">
              <w:rPr>
                <w:rFonts w:ascii="Times New Roman" w:hAnsi="Times New Roman"/>
                <w:b/>
                <w:bCs/>
                <w:color w:val="000000" w:themeColor="text1"/>
              </w:rPr>
              <w:t>Post-Immunization</w:t>
            </w:r>
          </w:p>
        </w:tc>
      </w:tr>
      <w:tr w:rsidR="00C51C00" w:rsidRPr="00F416BE" w14:paraId="6B0A4989" w14:textId="77777777" w:rsidTr="00C51C00">
        <w:trPr>
          <w:trHeight w:val="644"/>
        </w:trPr>
        <w:tc>
          <w:tcPr>
            <w:tcW w:w="3686" w:type="dxa"/>
            <w:tcBorders>
              <w:top w:val="single" w:sz="4" w:space="0" w:color="auto"/>
              <w:bottom w:val="single" w:sz="4" w:space="0" w:color="auto"/>
            </w:tcBorders>
            <w:vAlign w:val="center"/>
          </w:tcPr>
          <w:p w14:paraId="12B1F640" w14:textId="77777777" w:rsidR="00C51C00" w:rsidRPr="00F416BE" w:rsidRDefault="00C51C00" w:rsidP="00875E69">
            <w:pPr>
              <w:spacing w:line="360" w:lineRule="auto"/>
              <w:contextualSpacing/>
              <w:rPr>
                <w:rFonts w:ascii="Times New Roman" w:hAnsi="Times New Roman"/>
                <w:b/>
                <w:bCs/>
                <w:color w:val="000000" w:themeColor="text1"/>
              </w:rPr>
            </w:pPr>
            <w:r w:rsidRPr="00F416BE">
              <w:rPr>
                <w:rFonts w:ascii="Times New Roman" w:hAnsi="Times New Roman"/>
                <w:b/>
                <w:bCs/>
                <w:color w:val="000000" w:themeColor="text1"/>
              </w:rPr>
              <w:t>antibody response</w:t>
            </w:r>
          </w:p>
          <w:p w14:paraId="5040C13A" w14:textId="77777777" w:rsidR="00C51C00" w:rsidRPr="00F416BE" w:rsidRDefault="00C51C00" w:rsidP="00875E69">
            <w:pPr>
              <w:spacing w:line="360" w:lineRule="auto"/>
              <w:contextualSpacing/>
              <w:rPr>
                <w:rFonts w:ascii="Times New Roman" w:hAnsi="Times New Roman"/>
                <w:color w:val="000000" w:themeColor="text1"/>
              </w:rPr>
            </w:pPr>
            <w:r w:rsidRPr="00F416BE">
              <w:rPr>
                <w:rFonts w:ascii="Times New Roman" w:hAnsi="Times New Roman"/>
                <w:b/>
                <w:bCs/>
                <w:color w:val="000000" w:themeColor="text1"/>
              </w:rPr>
              <w:t>Anti-diphtheria (IU / mL), median (min-max)</w:t>
            </w:r>
          </w:p>
        </w:tc>
        <w:tc>
          <w:tcPr>
            <w:tcW w:w="2268" w:type="dxa"/>
            <w:tcBorders>
              <w:top w:val="single" w:sz="4" w:space="0" w:color="auto"/>
              <w:bottom w:val="single" w:sz="4" w:space="0" w:color="auto"/>
            </w:tcBorders>
            <w:vAlign w:val="center"/>
          </w:tcPr>
          <w:p w14:paraId="5F41AEF3" w14:textId="77777777" w:rsidR="00C51C00" w:rsidRPr="00F416BE" w:rsidRDefault="00C51C00" w:rsidP="00875E69">
            <w:pPr>
              <w:spacing w:line="360" w:lineRule="auto"/>
              <w:ind w:right="29"/>
              <w:contextualSpacing/>
              <w:jc w:val="center"/>
              <w:rPr>
                <w:rFonts w:ascii="Times New Roman" w:hAnsi="Times New Roman"/>
                <w:color w:val="000000" w:themeColor="text1"/>
              </w:rPr>
            </w:pPr>
            <w:r w:rsidRPr="00F416BE">
              <w:rPr>
                <w:rFonts w:ascii="Times New Roman" w:hAnsi="Times New Roman"/>
                <w:color w:val="000000" w:themeColor="text1"/>
              </w:rPr>
              <w:t>0.323 (0.000 to 3.465)</w:t>
            </w:r>
          </w:p>
        </w:tc>
        <w:tc>
          <w:tcPr>
            <w:tcW w:w="2126" w:type="dxa"/>
            <w:tcBorders>
              <w:top w:val="single" w:sz="4" w:space="0" w:color="auto"/>
              <w:bottom w:val="single" w:sz="4" w:space="0" w:color="auto"/>
            </w:tcBorders>
            <w:vAlign w:val="center"/>
          </w:tcPr>
          <w:p w14:paraId="75E19B28" w14:textId="77777777" w:rsidR="00C51C00" w:rsidRPr="00F416BE" w:rsidRDefault="00C51C00" w:rsidP="00875E69">
            <w:pPr>
              <w:spacing w:line="360" w:lineRule="auto"/>
              <w:contextualSpacing/>
              <w:jc w:val="center"/>
              <w:rPr>
                <w:rFonts w:ascii="Times New Roman" w:hAnsi="Times New Roman"/>
                <w:color w:val="000000" w:themeColor="text1"/>
              </w:rPr>
            </w:pPr>
            <w:r w:rsidRPr="00F416BE">
              <w:rPr>
                <w:rFonts w:ascii="Times New Roman" w:hAnsi="Times New Roman"/>
                <w:color w:val="000000" w:themeColor="text1"/>
              </w:rPr>
              <w:t>1.029 (0.111 to 4.321)</w:t>
            </w:r>
          </w:p>
        </w:tc>
      </w:tr>
      <w:tr w:rsidR="00C51C00" w:rsidRPr="00F416BE" w14:paraId="40FCF38C" w14:textId="77777777" w:rsidTr="00C51C00">
        <w:trPr>
          <w:trHeight w:val="835"/>
        </w:trPr>
        <w:tc>
          <w:tcPr>
            <w:tcW w:w="3686" w:type="dxa"/>
            <w:tcBorders>
              <w:top w:val="single" w:sz="4" w:space="0" w:color="auto"/>
              <w:bottom w:val="single" w:sz="4" w:space="0" w:color="auto"/>
            </w:tcBorders>
          </w:tcPr>
          <w:p w14:paraId="04B3FE4A" w14:textId="77777777" w:rsidR="00C51C00" w:rsidRPr="00F416BE" w:rsidRDefault="00C51C00" w:rsidP="00875E69">
            <w:pPr>
              <w:spacing w:line="360" w:lineRule="auto"/>
              <w:contextualSpacing/>
              <w:rPr>
                <w:rFonts w:ascii="Times New Roman" w:hAnsi="Times New Roman"/>
                <w:b/>
                <w:bCs/>
                <w:color w:val="000000" w:themeColor="text1"/>
              </w:rPr>
            </w:pPr>
            <w:r w:rsidRPr="00F416BE">
              <w:rPr>
                <w:rFonts w:ascii="Times New Roman" w:hAnsi="Times New Roman"/>
                <w:b/>
                <w:bCs/>
                <w:color w:val="000000" w:themeColor="text1"/>
              </w:rPr>
              <w:t>Antibody Response category</w:t>
            </w:r>
          </w:p>
          <w:p w14:paraId="082F178E" w14:textId="77777777" w:rsidR="00C51C00" w:rsidRPr="00F416BE" w:rsidRDefault="00C51C00" w:rsidP="00875E69">
            <w:pPr>
              <w:spacing w:line="360" w:lineRule="auto"/>
              <w:contextualSpacing/>
              <w:rPr>
                <w:rFonts w:ascii="Times New Roman" w:hAnsi="Times New Roman"/>
                <w:b/>
                <w:bCs/>
                <w:color w:val="000000" w:themeColor="text1"/>
              </w:rPr>
            </w:pPr>
            <w:r w:rsidRPr="00F416BE">
              <w:rPr>
                <w:rFonts w:ascii="Times New Roman" w:hAnsi="Times New Roman"/>
                <w:b/>
                <w:bCs/>
                <w:color w:val="000000" w:themeColor="text1"/>
              </w:rPr>
              <w:t>Anti diphtheria, n (%)</w:t>
            </w:r>
          </w:p>
          <w:p w14:paraId="11A75EAE" w14:textId="32080418" w:rsidR="00C51C00" w:rsidRPr="00F416BE" w:rsidRDefault="00C51C00" w:rsidP="00875E69">
            <w:pPr>
              <w:spacing w:line="360" w:lineRule="auto"/>
              <w:ind w:left="284"/>
              <w:contextualSpacing/>
              <w:rPr>
                <w:rFonts w:ascii="Times New Roman" w:hAnsi="Times New Roman"/>
                <w:color w:val="000000" w:themeColor="text1"/>
              </w:rPr>
            </w:pPr>
            <w:r w:rsidRPr="00F416BE">
              <w:rPr>
                <w:rFonts w:ascii="Times New Roman" w:hAnsi="Times New Roman"/>
                <w:color w:val="000000" w:themeColor="text1"/>
              </w:rPr>
              <w:t xml:space="preserve">No </w:t>
            </w:r>
            <w:proofErr w:type="gramStart"/>
            <w:r w:rsidRPr="00F416BE">
              <w:rPr>
                <w:rFonts w:ascii="Times New Roman" w:hAnsi="Times New Roman"/>
                <w:color w:val="000000" w:themeColor="text1"/>
              </w:rPr>
              <w:t>Protection</w:t>
            </w:r>
            <w:r w:rsidR="00AD1511" w:rsidRPr="00AD1511">
              <w:rPr>
                <w:rFonts w:ascii="Times New Roman" w:hAnsi="Times New Roman" w:cs="Times New Roman"/>
                <w:color w:val="000000" w:themeColor="text1"/>
              </w:rPr>
              <w:t>(</w:t>
            </w:r>
            <w:proofErr w:type="gramEnd"/>
            <w:r w:rsidR="00AD1511" w:rsidRPr="00AD1511">
              <w:rPr>
                <w:rFonts w:ascii="Times New Roman" w:eastAsia="MS Gothic" w:hAnsi="Times New Roman" w:cs="Times New Roman"/>
                <w:color w:val="000000"/>
              </w:rPr>
              <w:t>&lt;0.01 IU / mL)</w:t>
            </w:r>
          </w:p>
          <w:p w14:paraId="5CE8069C" w14:textId="77777777" w:rsidR="00C51C00" w:rsidRPr="00F416BE" w:rsidRDefault="00C51C00" w:rsidP="00875E69">
            <w:pPr>
              <w:spacing w:line="360" w:lineRule="auto"/>
              <w:ind w:left="284"/>
              <w:contextualSpacing/>
              <w:rPr>
                <w:rFonts w:ascii="Times New Roman" w:hAnsi="Times New Roman" w:cs="Times New Roman"/>
                <w:color w:val="000000" w:themeColor="text1"/>
              </w:rPr>
            </w:pPr>
            <w:r w:rsidRPr="00F416BE">
              <w:rPr>
                <w:rFonts w:ascii="Times New Roman" w:hAnsi="Times New Roman"/>
                <w:color w:val="000000" w:themeColor="text1"/>
              </w:rPr>
              <w:t>Cut off Protection (</w:t>
            </w:r>
            <w:r w:rsidRPr="00F416BE">
              <w:rPr>
                <w:rFonts w:ascii="Times New Roman" w:hAnsi="Times New Roman" w:cs="Times New Roman"/>
                <w:color w:val="000000" w:themeColor="text1"/>
              </w:rPr>
              <w:t>≥0,01 IU / mL)</w:t>
            </w:r>
          </w:p>
          <w:p w14:paraId="4C5280DD" w14:textId="77777777" w:rsidR="00C51C00" w:rsidRPr="00F416BE" w:rsidRDefault="00C51C00" w:rsidP="00875E69">
            <w:pPr>
              <w:spacing w:line="360" w:lineRule="auto"/>
              <w:ind w:left="284"/>
              <w:contextualSpacing/>
              <w:rPr>
                <w:rFonts w:ascii="Times New Roman" w:hAnsi="Times New Roman"/>
                <w:color w:val="000000" w:themeColor="text1"/>
              </w:rPr>
            </w:pPr>
            <w:proofErr w:type="spellStart"/>
            <w:r w:rsidRPr="00F416BE">
              <w:rPr>
                <w:rFonts w:ascii="Times New Roman" w:hAnsi="Times New Roman" w:cs="Times New Roman"/>
                <w:color w:val="000000" w:themeColor="text1"/>
              </w:rPr>
              <w:t>Longterm</w:t>
            </w:r>
            <w:proofErr w:type="spellEnd"/>
            <w:r w:rsidRPr="00F416BE">
              <w:rPr>
                <w:rFonts w:ascii="Times New Roman" w:hAnsi="Times New Roman" w:cs="Times New Roman"/>
                <w:color w:val="000000" w:themeColor="text1"/>
              </w:rPr>
              <w:t xml:space="preserve"> Protection (≥0,1 IU / mL)</w:t>
            </w:r>
          </w:p>
        </w:tc>
        <w:tc>
          <w:tcPr>
            <w:tcW w:w="2268" w:type="dxa"/>
            <w:tcBorders>
              <w:top w:val="single" w:sz="4" w:space="0" w:color="auto"/>
              <w:bottom w:val="single" w:sz="4" w:space="0" w:color="auto"/>
            </w:tcBorders>
          </w:tcPr>
          <w:p w14:paraId="1426713C" w14:textId="77777777" w:rsidR="00C51C00" w:rsidRPr="00F416BE" w:rsidRDefault="00C51C00" w:rsidP="00875E69">
            <w:pPr>
              <w:spacing w:line="360" w:lineRule="auto"/>
              <w:ind w:right="29"/>
              <w:contextualSpacing/>
              <w:jc w:val="center"/>
              <w:rPr>
                <w:rFonts w:ascii="Times New Roman" w:hAnsi="Times New Roman"/>
                <w:color w:val="000000" w:themeColor="text1"/>
              </w:rPr>
            </w:pPr>
          </w:p>
          <w:p w14:paraId="21D2C132" w14:textId="77777777" w:rsidR="00C51C00" w:rsidRPr="00F416BE" w:rsidRDefault="00C51C00" w:rsidP="00875E69">
            <w:pPr>
              <w:spacing w:line="360" w:lineRule="auto"/>
              <w:ind w:right="29"/>
              <w:contextualSpacing/>
              <w:jc w:val="center"/>
              <w:rPr>
                <w:rFonts w:ascii="Times New Roman" w:hAnsi="Times New Roman"/>
                <w:color w:val="000000" w:themeColor="text1"/>
              </w:rPr>
            </w:pPr>
          </w:p>
          <w:p w14:paraId="2D4A700F" w14:textId="77777777" w:rsidR="00C51C00" w:rsidRPr="00F416BE" w:rsidRDefault="00C51C00" w:rsidP="00875E69">
            <w:pPr>
              <w:spacing w:line="360" w:lineRule="auto"/>
              <w:ind w:right="29"/>
              <w:contextualSpacing/>
              <w:jc w:val="center"/>
              <w:rPr>
                <w:rFonts w:ascii="Times New Roman" w:hAnsi="Times New Roman"/>
                <w:color w:val="000000" w:themeColor="text1"/>
              </w:rPr>
            </w:pPr>
            <w:r w:rsidRPr="00F416BE">
              <w:rPr>
                <w:rFonts w:ascii="Times New Roman" w:hAnsi="Times New Roman"/>
                <w:color w:val="000000" w:themeColor="text1"/>
              </w:rPr>
              <w:t>1 (3.3)</w:t>
            </w:r>
          </w:p>
          <w:p w14:paraId="1BB9C193" w14:textId="77777777" w:rsidR="00C51C00" w:rsidRPr="00F416BE" w:rsidRDefault="00C51C00" w:rsidP="00875E69">
            <w:pPr>
              <w:spacing w:line="360" w:lineRule="auto"/>
              <w:ind w:right="29"/>
              <w:contextualSpacing/>
              <w:jc w:val="center"/>
              <w:rPr>
                <w:rFonts w:ascii="Times New Roman" w:hAnsi="Times New Roman"/>
                <w:color w:val="000000" w:themeColor="text1"/>
              </w:rPr>
            </w:pPr>
            <w:r w:rsidRPr="00F416BE">
              <w:rPr>
                <w:rFonts w:ascii="Times New Roman" w:hAnsi="Times New Roman"/>
                <w:color w:val="000000" w:themeColor="text1"/>
              </w:rPr>
              <w:t>6 (20.0)</w:t>
            </w:r>
          </w:p>
          <w:p w14:paraId="4043DAE0" w14:textId="77777777" w:rsidR="00C51C00" w:rsidRPr="00F416BE" w:rsidRDefault="00C51C00" w:rsidP="00875E69">
            <w:pPr>
              <w:spacing w:line="360" w:lineRule="auto"/>
              <w:ind w:right="29"/>
              <w:contextualSpacing/>
              <w:jc w:val="center"/>
              <w:rPr>
                <w:rFonts w:ascii="Times New Roman" w:hAnsi="Times New Roman"/>
                <w:color w:val="000000" w:themeColor="text1"/>
              </w:rPr>
            </w:pPr>
            <w:r w:rsidRPr="00F416BE">
              <w:rPr>
                <w:rFonts w:ascii="Times New Roman" w:hAnsi="Times New Roman"/>
                <w:color w:val="000000" w:themeColor="text1"/>
              </w:rPr>
              <w:t>23 (76.7)</w:t>
            </w:r>
          </w:p>
        </w:tc>
        <w:tc>
          <w:tcPr>
            <w:tcW w:w="2126" w:type="dxa"/>
            <w:tcBorders>
              <w:top w:val="single" w:sz="4" w:space="0" w:color="auto"/>
              <w:bottom w:val="single" w:sz="4" w:space="0" w:color="auto"/>
            </w:tcBorders>
          </w:tcPr>
          <w:p w14:paraId="06309F3E" w14:textId="77777777" w:rsidR="00C51C00" w:rsidRPr="00F416BE" w:rsidRDefault="00C51C00" w:rsidP="00875E69">
            <w:pPr>
              <w:spacing w:line="360" w:lineRule="auto"/>
              <w:contextualSpacing/>
              <w:jc w:val="center"/>
              <w:rPr>
                <w:rFonts w:ascii="Times New Roman" w:hAnsi="Times New Roman"/>
                <w:color w:val="000000" w:themeColor="text1"/>
              </w:rPr>
            </w:pPr>
          </w:p>
          <w:p w14:paraId="1259B52A" w14:textId="77777777" w:rsidR="00C51C00" w:rsidRPr="00F416BE" w:rsidRDefault="00C51C00" w:rsidP="00875E69">
            <w:pPr>
              <w:spacing w:line="360" w:lineRule="auto"/>
              <w:contextualSpacing/>
              <w:jc w:val="center"/>
              <w:rPr>
                <w:rFonts w:ascii="Times New Roman" w:hAnsi="Times New Roman"/>
                <w:color w:val="000000" w:themeColor="text1"/>
              </w:rPr>
            </w:pPr>
          </w:p>
          <w:p w14:paraId="1687C31C" w14:textId="77777777" w:rsidR="00C51C00" w:rsidRPr="00F416BE" w:rsidRDefault="00C51C00" w:rsidP="00875E69">
            <w:pPr>
              <w:spacing w:line="360" w:lineRule="auto"/>
              <w:contextualSpacing/>
              <w:jc w:val="center"/>
              <w:rPr>
                <w:rFonts w:ascii="Times New Roman" w:hAnsi="Times New Roman"/>
                <w:color w:val="000000" w:themeColor="text1"/>
              </w:rPr>
            </w:pPr>
            <w:r w:rsidRPr="00F416BE">
              <w:rPr>
                <w:rFonts w:ascii="Times New Roman" w:hAnsi="Times New Roman"/>
                <w:color w:val="000000" w:themeColor="text1"/>
              </w:rPr>
              <w:t>0 (0.0)</w:t>
            </w:r>
          </w:p>
          <w:p w14:paraId="7154BB25" w14:textId="77777777" w:rsidR="00C51C00" w:rsidRPr="00F416BE" w:rsidRDefault="00C51C00" w:rsidP="00875E69">
            <w:pPr>
              <w:spacing w:line="360" w:lineRule="auto"/>
              <w:contextualSpacing/>
              <w:jc w:val="center"/>
              <w:rPr>
                <w:rFonts w:ascii="Times New Roman" w:hAnsi="Times New Roman"/>
                <w:color w:val="000000" w:themeColor="text1"/>
              </w:rPr>
            </w:pPr>
            <w:r w:rsidRPr="00F416BE">
              <w:rPr>
                <w:rFonts w:ascii="Times New Roman" w:hAnsi="Times New Roman"/>
                <w:color w:val="000000" w:themeColor="text1"/>
              </w:rPr>
              <w:t>0 (0.0)</w:t>
            </w:r>
          </w:p>
          <w:p w14:paraId="5A9C8090" w14:textId="77777777" w:rsidR="00C51C00" w:rsidRPr="00F416BE" w:rsidRDefault="00C51C00" w:rsidP="00875E69">
            <w:pPr>
              <w:spacing w:line="360" w:lineRule="auto"/>
              <w:contextualSpacing/>
              <w:jc w:val="center"/>
              <w:rPr>
                <w:rFonts w:ascii="Times New Roman" w:hAnsi="Times New Roman"/>
                <w:color w:val="000000" w:themeColor="text1"/>
              </w:rPr>
            </w:pPr>
            <w:r w:rsidRPr="00F416BE">
              <w:rPr>
                <w:rFonts w:ascii="Times New Roman" w:hAnsi="Times New Roman"/>
                <w:color w:val="000000" w:themeColor="text1"/>
              </w:rPr>
              <w:t>30 (100.0)</w:t>
            </w:r>
          </w:p>
        </w:tc>
      </w:tr>
    </w:tbl>
    <w:p w14:paraId="0A9BDA04" w14:textId="0A727FAD" w:rsidR="00900C33" w:rsidRDefault="00C51C00" w:rsidP="00875E69">
      <w:pPr>
        <w:tabs>
          <w:tab w:val="left" w:pos="206"/>
        </w:tabs>
        <w:spacing w:line="360" w:lineRule="auto"/>
        <w:contextualSpacing/>
        <w:rPr>
          <w:rFonts w:ascii="Times New Roman" w:hAnsi="Times New Roman"/>
          <w:color w:val="000000" w:themeColor="text1"/>
          <w:sz w:val="24"/>
          <w:szCs w:val="24"/>
        </w:rPr>
      </w:pPr>
      <w:r w:rsidRPr="00F416BE">
        <w:rPr>
          <w:rFonts w:ascii="Times New Roman" w:hAnsi="Times New Roman"/>
          <w:color w:val="000000" w:themeColor="text1"/>
          <w:sz w:val="24"/>
          <w:szCs w:val="24"/>
        </w:rPr>
        <w:tab/>
      </w:r>
      <w:bookmarkEnd w:id="5"/>
    </w:p>
    <w:p w14:paraId="6598D5AE" w14:textId="77777777" w:rsidR="00362068" w:rsidRPr="00362068" w:rsidRDefault="00362068" w:rsidP="00875E69">
      <w:pPr>
        <w:tabs>
          <w:tab w:val="left" w:pos="206"/>
        </w:tabs>
        <w:spacing w:line="360" w:lineRule="auto"/>
        <w:contextualSpacing/>
        <w:rPr>
          <w:rFonts w:ascii="Times New Roman" w:hAnsi="Times New Roman"/>
          <w:color w:val="000000" w:themeColor="text1"/>
          <w:sz w:val="24"/>
          <w:szCs w:val="24"/>
        </w:rPr>
      </w:pPr>
    </w:p>
    <w:p w14:paraId="0707C256" w14:textId="77777777" w:rsidR="00C51C00" w:rsidRPr="00F416BE" w:rsidRDefault="00C51C00" w:rsidP="00875E69">
      <w:pPr>
        <w:autoSpaceDE w:val="0"/>
        <w:autoSpaceDN w:val="0"/>
        <w:adjustRightInd w:val="0"/>
        <w:spacing w:line="360" w:lineRule="auto"/>
        <w:jc w:val="center"/>
        <w:rPr>
          <w:rFonts w:ascii="Times New Roman" w:hAnsi="Times New Roman" w:cs="Times New Roman"/>
          <w:color w:val="000000" w:themeColor="text1"/>
          <w:sz w:val="24"/>
          <w:szCs w:val="24"/>
        </w:rPr>
      </w:pPr>
      <w:r w:rsidRPr="00F416BE">
        <w:rPr>
          <w:rFonts w:ascii="Times New Roman" w:hAnsi="Times New Roman" w:cs="Times New Roman"/>
          <w:noProof/>
          <w:color w:val="000000" w:themeColor="text1"/>
          <w:sz w:val="24"/>
          <w:szCs w:val="24"/>
        </w:rPr>
        <w:drawing>
          <wp:inline distT="0" distB="0" distL="0" distR="0" wp14:anchorId="3A6B72A6" wp14:editId="471A24D1">
            <wp:extent cx="3962400" cy="2330654"/>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2400" cy="2330654"/>
                    </a:xfrm>
                    <a:prstGeom prst="rect">
                      <a:avLst/>
                    </a:prstGeom>
                    <a:noFill/>
                    <a:ln>
                      <a:noFill/>
                    </a:ln>
                  </pic:spPr>
                </pic:pic>
              </a:graphicData>
            </a:graphic>
          </wp:inline>
        </w:drawing>
      </w:r>
    </w:p>
    <w:p w14:paraId="3F673C04" w14:textId="354394CA" w:rsidR="005D2718" w:rsidRDefault="00C51C00" w:rsidP="00875E69">
      <w:pPr>
        <w:autoSpaceDE w:val="0"/>
        <w:autoSpaceDN w:val="0"/>
        <w:adjustRightInd w:val="0"/>
        <w:spacing w:line="360" w:lineRule="auto"/>
        <w:jc w:val="center"/>
        <w:rPr>
          <w:rFonts w:ascii="Times New Roman" w:hAnsi="Times New Roman" w:cs="Times New Roman"/>
          <w:b/>
          <w:bCs/>
          <w:color w:val="000000" w:themeColor="text1"/>
          <w:sz w:val="22"/>
          <w:szCs w:val="22"/>
        </w:rPr>
      </w:pPr>
      <w:r w:rsidRPr="00F416BE">
        <w:rPr>
          <w:rFonts w:ascii="Times New Roman" w:hAnsi="Times New Roman" w:cs="Times New Roman"/>
          <w:b/>
          <w:bCs/>
          <w:color w:val="000000" w:themeColor="text1"/>
          <w:sz w:val="22"/>
          <w:szCs w:val="22"/>
        </w:rPr>
        <w:t>Figure Boxplot Differences</w:t>
      </w:r>
      <w:r w:rsidR="001A1360">
        <w:rPr>
          <w:rFonts w:ascii="Times New Roman" w:hAnsi="Times New Roman" w:cs="Times New Roman"/>
          <w:b/>
          <w:bCs/>
          <w:color w:val="000000" w:themeColor="text1"/>
          <w:sz w:val="22"/>
          <w:szCs w:val="22"/>
        </w:rPr>
        <w:t xml:space="preserve"> in</w:t>
      </w:r>
      <w:r w:rsidRPr="00F416BE">
        <w:rPr>
          <w:rFonts w:ascii="Times New Roman" w:hAnsi="Times New Roman" w:cs="Times New Roman"/>
          <w:b/>
          <w:bCs/>
          <w:color w:val="000000" w:themeColor="text1"/>
          <w:sz w:val="22"/>
          <w:szCs w:val="22"/>
        </w:rPr>
        <w:t xml:space="preserve"> Anti</w:t>
      </w:r>
      <w:r w:rsidR="001A1360">
        <w:rPr>
          <w:rFonts w:ascii="Times New Roman" w:hAnsi="Times New Roman" w:cs="Times New Roman"/>
          <w:b/>
          <w:bCs/>
          <w:color w:val="000000" w:themeColor="text1"/>
          <w:sz w:val="22"/>
          <w:szCs w:val="22"/>
        </w:rPr>
        <w:t>-</w:t>
      </w:r>
      <w:r w:rsidRPr="00F416BE">
        <w:rPr>
          <w:rFonts w:ascii="Times New Roman" w:hAnsi="Times New Roman" w:cs="Times New Roman"/>
          <w:b/>
          <w:bCs/>
          <w:color w:val="000000" w:themeColor="text1"/>
          <w:sz w:val="22"/>
          <w:szCs w:val="22"/>
        </w:rPr>
        <w:t>Diphtheria Antibody Response Distribution Pre- and Post-Immunization</w:t>
      </w:r>
    </w:p>
    <w:p w14:paraId="3A220346" w14:textId="77777777" w:rsidR="003110CD" w:rsidRPr="003110CD" w:rsidRDefault="003110CD" w:rsidP="00875E69">
      <w:pPr>
        <w:autoSpaceDE w:val="0"/>
        <w:autoSpaceDN w:val="0"/>
        <w:adjustRightInd w:val="0"/>
        <w:spacing w:line="360" w:lineRule="auto"/>
        <w:jc w:val="center"/>
        <w:rPr>
          <w:rFonts w:ascii="Times New Roman" w:hAnsi="Times New Roman" w:cs="Times New Roman"/>
          <w:b/>
          <w:bCs/>
          <w:color w:val="000000" w:themeColor="text1"/>
          <w:sz w:val="22"/>
          <w:szCs w:val="22"/>
        </w:rPr>
      </w:pPr>
    </w:p>
    <w:p w14:paraId="3E79DB34" w14:textId="346053A9" w:rsidR="00C914B2" w:rsidRDefault="003110CD" w:rsidP="00875E69">
      <w:pPr>
        <w:spacing w:line="360" w:lineRule="auto"/>
        <w:ind w:firstLine="720"/>
        <w:contextualSpacing/>
        <w:jc w:val="both"/>
        <w:outlineLvl w:val="0"/>
        <w:rPr>
          <w:rFonts w:ascii="Times New Roman" w:hAnsi="Times New Roman"/>
          <w:color w:val="000000" w:themeColor="text1"/>
          <w:sz w:val="24"/>
          <w:szCs w:val="24"/>
        </w:rPr>
      </w:pPr>
      <w:r>
        <w:rPr>
          <w:rFonts w:ascii="Times New Roman" w:hAnsi="Times New Roman"/>
          <w:color w:val="000000" w:themeColor="text1"/>
          <w:sz w:val="24"/>
          <w:szCs w:val="24"/>
        </w:rPr>
        <w:t xml:space="preserve">The results of the monitoring </w:t>
      </w:r>
      <w:r w:rsidR="001A1360">
        <w:rPr>
          <w:rFonts w:ascii="Times New Roman" w:hAnsi="Times New Roman"/>
          <w:color w:val="000000" w:themeColor="text1"/>
          <w:sz w:val="24"/>
          <w:szCs w:val="24"/>
        </w:rPr>
        <w:t>of Adverse Events</w:t>
      </w:r>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Follo</w:t>
      </w:r>
      <w:proofErr w:type="spellEnd"/>
      <w:r w:rsidR="00C025C2">
        <w:rPr>
          <w:rFonts w:ascii="Times New Roman" w:hAnsi="Times New Roman"/>
          <w:color w:val="000000" w:themeColor="text1"/>
          <w:sz w:val="24"/>
          <w:szCs w:val="24"/>
          <w:lang w:val="id-ID"/>
        </w:rPr>
        <w:t>w</w:t>
      </w:r>
      <w:proofErr w:type="spellStart"/>
      <w:r w:rsidR="001A1360">
        <w:rPr>
          <w:rFonts w:ascii="Times New Roman" w:hAnsi="Times New Roman"/>
          <w:color w:val="000000" w:themeColor="text1"/>
          <w:sz w:val="24"/>
          <w:szCs w:val="24"/>
        </w:rPr>
        <w:t>ing</w:t>
      </w:r>
      <w:proofErr w:type="spellEnd"/>
      <w:r w:rsidR="00C025C2">
        <w:rPr>
          <w:rFonts w:ascii="Times New Roman" w:hAnsi="Times New Roman"/>
          <w:color w:val="000000" w:themeColor="text1"/>
          <w:sz w:val="24"/>
          <w:szCs w:val="24"/>
          <w:lang w:val="id-ID"/>
        </w:rPr>
        <w:t xml:space="preserve"> </w:t>
      </w:r>
      <w:r>
        <w:rPr>
          <w:rFonts w:ascii="Times New Roman" w:hAnsi="Times New Roman"/>
          <w:color w:val="000000" w:themeColor="text1"/>
          <w:sz w:val="24"/>
          <w:szCs w:val="24"/>
        </w:rPr>
        <w:t>Immunization (</w:t>
      </w:r>
      <w:r w:rsidR="001A1360">
        <w:rPr>
          <w:rFonts w:ascii="Times New Roman" w:hAnsi="Times New Roman"/>
          <w:color w:val="000000" w:themeColor="text1"/>
          <w:sz w:val="24"/>
          <w:szCs w:val="24"/>
        </w:rPr>
        <w:t>AEFI</w:t>
      </w:r>
      <w:r>
        <w:rPr>
          <w:rFonts w:ascii="Times New Roman" w:hAnsi="Times New Roman"/>
          <w:color w:val="000000" w:themeColor="text1"/>
          <w:sz w:val="24"/>
          <w:szCs w:val="24"/>
        </w:rPr>
        <w:t>) for 0-1 months after immunization obtained the highest</w:t>
      </w:r>
      <w:r w:rsidR="001A1360">
        <w:rPr>
          <w:rFonts w:ascii="Times New Roman" w:hAnsi="Times New Roman"/>
          <w:color w:val="000000" w:themeColor="text1"/>
          <w:sz w:val="24"/>
          <w:szCs w:val="24"/>
        </w:rPr>
        <w:t xml:space="preserve"> in</w:t>
      </w:r>
      <w:r>
        <w:rPr>
          <w:rFonts w:ascii="Times New Roman" w:hAnsi="Times New Roman"/>
          <w:color w:val="000000" w:themeColor="text1"/>
          <w:sz w:val="24"/>
          <w:szCs w:val="24"/>
        </w:rPr>
        <w:t xml:space="preserve"> local</w:t>
      </w:r>
      <w:r w:rsidR="001A1360">
        <w:rPr>
          <w:rFonts w:ascii="Times New Roman" w:hAnsi="Times New Roman"/>
          <w:color w:val="000000" w:themeColor="text1"/>
          <w:sz w:val="24"/>
          <w:szCs w:val="24"/>
        </w:rPr>
        <w:t xml:space="preserve"> AEFI,</w:t>
      </w:r>
      <w:r>
        <w:rPr>
          <w:rFonts w:ascii="Times New Roman" w:hAnsi="Times New Roman"/>
          <w:color w:val="000000" w:themeColor="text1"/>
          <w:sz w:val="24"/>
          <w:szCs w:val="24"/>
        </w:rPr>
        <w:t xml:space="preserve"> </w:t>
      </w:r>
      <w:r w:rsidR="001A1360">
        <w:rPr>
          <w:rFonts w:ascii="Times New Roman" w:hAnsi="Times New Roman"/>
          <w:color w:val="000000" w:themeColor="text1"/>
          <w:sz w:val="24"/>
          <w:szCs w:val="24"/>
        </w:rPr>
        <w:t>while</w:t>
      </w:r>
      <w:r>
        <w:rPr>
          <w:rFonts w:ascii="Times New Roman" w:hAnsi="Times New Roman"/>
          <w:color w:val="000000" w:themeColor="text1"/>
          <w:sz w:val="24"/>
          <w:szCs w:val="24"/>
        </w:rPr>
        <w:t xml:space="preserve"> systemic</w:t>
      </w:r>
      <w:r w:rsidR="001A1360">
        <w:rPr>
          <w:rFonts w:ascii="Times New Roman" w:hAnsi="Times New Roman"/>
          <w:color w:val="000000" w:themeColor="text1"/>
          <w:sz w:val="24"/>
          <w:szCs w:val="24"/>
        </w:rPr>
        <w:t xml:space="preserve"> AEFI</w:t>
      </w:r>
      <w:r>
        <w:rPr>
          <w:rFonts w:ascii="Times New Roman" w:hAnsi="Times New Roman"/>
          <w:color w:val="000000" w:themeColor="text1"/>
          <w:sz w:val="24"/>
          <w:szCs w:val="24"/>
        </w:rPr>
        <w:t xml:space="preserve"> only occurs in 5 cases of fever 1 and 4 cases of mild muscle aches. Local </w:t>
      </w:r>
      <w:r w:rsidR="001A1360">
        <w:rPr>
          <w:rFonts w:ascii="Times New Roman" w:hAnsi="Times New Roman"/>
          <w:color w:val="000000" w:themeColor="text1"/>
          <w:sz w:val="24"/>
          <w:szCs w:val="24"/>
        </w:rPr>
        <w:t>AEFI</w:t>
      </w:r>
      <w:r>
        <w:rPr>
          <w:rFonts w:ascii="Times New Roman" w:hAnsi="Times New Roman"/>
          <w:color w:val="000000" w:themeColor="text1"/>
          <w:sz w:val="24"/>
          <w:szCs w:val="24"/>
        </w:rPr>
        <w:t xml:space="preserve"> that occurs only in the first 3 days after immunization is done while the 4th until the 30th day no one complained of symptoms related to immunization.</w:t>
      </w:r>
    </w:p>
    <w:p w14:paraId="30FB5316" w14:textId="34AF3D2C" w:rsidR="00D24F78" w:rsidRDefault="00D24F78" w:rsidP="00875E69">
      <w:pPr>
        <w:spacing w:line="360" w:lineRule="auto"/>
        <w:ind w:firstLine="720"/>
        <w:contextualSpacing/>
        <w:jc w:val="both"/>
        <w:outlineLvl w:val="0"/>
        <w:rPr>
          <w:rFonts w:ascii="Times New Roman" w:hAnsi="Times New Roman"/>
          <w:color w:val="000000" w:themeColor="text1"/>
          <w:sz w:val="24"/>
          <w:szCs w:val="24"/>
        </w:rPr>
      </w:pPr>
    </w:p>
    <w:p w14:paraId="41CA9414" w14:textId="77777777" w:rsidR="00D24F78" w:rsidRPr="00362068" w:rsidRDefault="00D24F78" w:rsidP="00875E69">
      <w:pPr>
        <w:spacing w:line="360" w:lineRule="auto"/>
        <w:ind w:firstLine="720"/>
        <w:contextualSpacing/>
        <w:jc w:val="both"/>
        <w:outlineLvl w:val="0"/>
        <w:rPr>
          <w:rFonts w:ascii="Times New Roman" w:hAnsi="Times New Roman"/>
          <w:color w:val="000000" w:themeColor="text1"/>
          <w:sz w:val="24"/>
          <w:szCs w:val="24"/>
        </w:rPr>
      </w:pPr>
    </w:p>
    <w:p w14:paraId="2930F053" w14:textId="77777777" w:rsidR="00C025C2" w:rsidRDefault="00C025C2" w:rsidP="00875E69">
      <w:pPr>
        <w:spacing w:line="360" w:lineRule="auto"/>
        <w:contextualSpacing/>
        <w:jc w:val="center"/>
        <w:outlineLvl w:val="0"/>
        <w:rPr>
          <w:rFonts w:ascii="Times New Roman" w:hAnsi="Times New Roman"/>
          <w:b/>
          <w:color w:val="000000" w:themeColor="text1"/>
          <w:sz w:val="22"/>
          <w:szCs w:val="22"/>
        </w:rPr>
      </w:pPr>
    </w:p>
    <w:p w14:paraId="3CB5385E" w14:textId="77777777" w:rsidR="00C025C2" w:rsidRDefault="00C025C2" w:rsidP="00875E69">
      <w:pPr>
        <w:spacing w:line="360" w:lineRule="auto"/>
        <w:contextualSpacing/>
        <w:jc w:val="center"/>
        <w:outlineLvl w:val="0"/>
        <w:rPr>
          <w:rFonts w:ascii="Times New Roman" w:hAnsi="Times New Roman"/>
          <w:b/>
          <w:color w:val="000000" w:themeColor="text1"/>
          <w:sz w:val="22"/>
          <w:szCs w:val="22"/>
        </w:rPr>
      </w:pPr>
    </w:p>
    <w:p w14:paraId="0308A49E" w14:textId="5580792B" w:rsidR="001A7BFD" w:rsidRPr="00F416BE" w:rsidRDefault="001A7BFD" w:rsidP="00875E69">
      <w:pPr>
        <w:spacing w:line="360" w:lineRule="auto"/>
        <w:contextualSpacing/>
        <w:jc w:val="center"/>
        <w:outlineLvl w:val="0"/>
        <w:rPr>
          <w:rFonts w:ascii="Times New Roman" w:hAnsi="Times New Roman"/>
          <w:b/>
          <w:color w:val="000000" w:themeColor="text1"/>
          <w:sz w:val="22"/>
          <w:szCs w:val="22"/>
        </w:rPr>
      </w:pPr>
      <w:r w:rsidRPr="00F416BE">
        <w:rPr>
          <w:rFonts w:ascii="Times New Roman" w:hAnsi="Times New Roman"/>
          <w:b/>
          <w:color w:val="000000" w:themeColor="text1"/>
          <w:sz w:val="22"/>
          <w:szCs w:val="22"/>
        </w:rPr>
        <w:lastRenderedPageBreak/>
        <w:t>table 3</w:t>
      </w:r>
      <w:r w:rsidRPr="00F416BE">
        <w:rPr>
          <w:rFonts w:ascii="Times New Roman" w:hAnsi="Times New Roman"/>
          <w:color w:val="000000" w:themeColor="text1"/>
          <w:sz w:val="22"/>
          <w:szCs w:val="22"/>
        </w:rPr>
        <w:t xml:space="preserve"> Local and Systemic Reactions Post-Immunization</w:t>
      </w:r>
    </w:p>
    <w:p w14:paraId="7D9FFA7E" w14:textId="77777777" w:rsidR="001A7BFD" w:rsidRPr="00F416BE" w:rsidRDefault="001A7BFD" w:rsidP="00875E69">
      <w:pPr>
        <w:spacing w:line="360" w:lineRule="auto"/>
        <w:contextualSpacing/>
        <w:jc w:val="center"/>
        <w:rPr>
          <w:rFonts w:ascii="Times New Roman" w:hAnsi="Times New Roman"/>
          <w:b/>
          <w:color w:val="000000" w:themeColor="text1"/>
        </w:rPr>
      </w:pPr>
    </w:p>
    <w:tbl>
      <w:tblPr>
        <w:tblStyle w:val="TableGrid"/>
        <w:tblW w:w="6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1560"/>
        <w:gridCol w:w="1417"/>
        <w:gridCol w:w="1418"/>
      </w:tblGrid>
      <w:tr w:rsidR="001A7BFD" w:rsidRPr="00F416BE" w14:paraId="1109FB8F" w14:textId="77777777" w:rsidTr="00C448BF">
        <w:trPr>
          <w:trHeight w:val="57"/>
        </w:trPr>
        <w:tc>
          <w:tcPr>
            <w:tcW w:w="2376" w:type="dxa"/>
            <w:vMerge w:val="restart"/>
            <w:tcBorders>
              <w:top w:val="single" w:sz="4" w:space="0" w:color="auto"/>
            </w:tcBorders>
            <w:vAlign w:val="center"/>
          </w:tcPr>
          <w:p w14:paraId="7D599D59" w14:textId="77777777" w:rsidR="001A7BFD" w:rsidRPr="00F416BE" w:rsidRDefault="001A7BFD" w:rsidP="00875E69">
            <w:pPr>
              <w:spacing w:line="360" w:lineRule="auto"/>
              <w:contextualSpacing/>
              <w:jc w:val="center"/>
              <w:rPr>
                <w:rFonts w:ascii="Times New Roman" w:hAnsi="Times New Roman"/>
                <w:b/>
                <w:bCs/>
                <w:color w:val="000000" w:themeColor="text1"/>
                <w:sz w:val="22"/>
                <w:szCs w:val="22"/>
              </w:rPr>
            </w:pPr>
            <w:bookmarkStart w:id="6" w:name="OLE_LINK8"/>
          </w:p>
        </w:tc>
        <w:tc>
          <w:tcPr>
            <w:tcW w:w="4395" w:type="dxa"/>
            <w:gridSpan w:val="3"/>
            <w:tcBorders>
              <w:top w:val="single" w:sz="4" w:space="0" w:color="auto"/>
              <w:bottom w:val="single" w:sz="4" w:space="0" w:color="auto"/>
            </w:tcBorders>
          </w:tcPr>
          <w:p w14:paraId="71F64D8D" w14:textId="77777777" w:rsidR="001A7BFD" w:rsidRPr="00F416BE" w:rsidRDefault="001A7BFD" w:rsidP="00875E69">
            <w:pPr>
              <w:tabs>
                <w:tab w:val="right" w:pos="2585"/>
              </w:tabs>
              <w:spacing w:line="360" w:lineRule="auto"/>
              <w:contextualSpacing/>
              <w:jc w:val="center"/>
              <w:rPr>
                <w:rFonts w:ascii="Times New Roman" w:hAnsi="Times New Roman"/>
                <w:b/>
                <w:bCs/>
                <w:color w:val="000000" w:themeColor="text1"/>
                <w:sz w:val="22"/>
                <w:szCs w:val="22"/>
              </w:rPr>
            </w:pPr>
            <w:r w:rsidRPr="00F416BE">
              <w:rPr>
                <w:rFonts w:ascii="Times New Roman" w:hAnsi="Times New Roman"/>
                <w:b/>
                <w:bCs/>
                <w:color w:val="000000" w:themeColor="text1"/>
                <w:sz w:val="22"/>
                <w:szCs w:val="22"/>
              </w:rPr>
              <w:t>N = 30</w:t>
            </w:r>
          </w:p>
        </w:tc>
      </w:tr>
      <w:tr w:rsidR="001A7BFD" w:rsidRPr="00F416BE" w14:paraId="3441A1D5" w14:textId="77777777" w:rsidTr="00C448BF">
        <w:trPr>
          <w:trHeight w:val="57"/>
        </w:trPr>
        <w:tc>
          <w:tcPr>
            <w:tcW w:w="2376" w:type="dxa"/>
            <w:vMerge/>
            <w:tcBorders>
              <w:bottom w:val="single" w:sz="4" w:space="0" w:color="auto"/>
            </w:tcBorders>
            <w:vAlign w:val="center"/>
          </w:tcPr>
          <w:p w14:paraId="47044EA0" w14:textId="77777777" w:rsidR="001A7BFD" w:rsidRPr="00F416BE" w:rsidRDefault="001A7BFD" w:rsidP="00875E69">
            <w:pPr>
              <w:spacing w:line="360" w:lineRule="auto"/>
              <w:contextualSpacing/>
              <w:jc w:val="center"/>
              <w:rPr>
                <w:rFonts w:ascii="Times New Roman" w:hAnsi="Times New Roman"/>
                <w:b/>
                <w:bCs/>
                <w:color w:val="000000" w:themeColor="text1"/>
                <w:sz w:val="22"/>
                <w:szCs w:val="22"/>
              </w:rPr>
            </w:pPr>
          </w:p>
        </w:tc>
        <w:tc>
          <w:tcPr>
            <w:tcW w:w="1560" w:type="dxa"/>
            <w:tcBorders>
              <w:top w:val="single" w:sz="4" w:space="0" w:color="auto"/>
              <w:bottom w:val="single" w:sz="4" w:space="0" w:color="auto"/>
            </w:tcBorders>
          </w:tcPr>
          <w:p w14:paraId="0B493A60" w14:textId="77777777" w:rsidR="001A7BFD" w:rsidRPr="00F416BE" w:rsidRDefault="001A7BFD" w:rsidP="00875E69">
            <w:pPr>
              <w:tabs>
                <w:tab w:val="right" w:pos="2585"/>
              </w:tabs>
              <w:spacing w:line="360" w:lineRule="auto"/>
              <w:contextualSpacing/>
              <w:jc w:val="center"/>
              <w:rPr>
                <w:rFonts w:ascii="Times New Roman" w:hAnsi="Times New Roman"/>
                <w:b/>
                <w:bCs/>
                <w:color w:val="000000" w:themeColor="text1"/>
                <w:sz w:val="22"/>
                <w:szCs w:val="22"/>
              </w:rPr>
            </w:pPr>
            <w:r w:rsidRPr="00F416BE">
              <w:rPr>
                <w:rFonts w:ascii="Times New Roman" w:hAnsi="Times New Roman"/>
                <w:b/>
                <w:bCs/>
                <w:color w:val="000000" w:themeColor="text1"/>
                <w:sz w:val="22"/>
                <w:szCs w:val="22"/>
              </w:rPr>
              <w:t>Day 1</w:t>
            </w:r>
          </w:p>
        </w:tc>
        <w:tc>
          <w:tcPr>
            <w:tcW w:w="1417" w:type="dxa"/>
            <w:tcBorders>
              <w:top w:val="single" w:sz="4" w:space="0" w:color="auto"/>
              <w:bottom w:val="single" w:sz="4" w:space="0" w:color="auto"/>
            </w:tcBorders>
          </w:tcPr>
          <w:p w14:paraId="13513E15" w14:textId="77777777" w:rsidR="001A7BFD" w:rsidRPr="00F416BE" w:rsidRDefault="001A7BFD" w:rsidP="00875E69">
            <w:pPr>
              <w:tabs>
                <w:tab w:val="right" w:pos="2585"/>
              </w:tabs>
              <w:spacing w:line="360" w:lineRule="auto"/>
              <w:contextualSpacing/>
              <w:jc w:val="center"/>
              <w:rPr>
                <w:rFonts w:ascii="Times New Roman" w:hAnsi="Times New Roman"/>
                <w:b/>
                <w:bCs/>
                <w:color w:val="000000" w:themeColor="text1"/>
                <w:sz w:val="22"/>
                <w:szCs w:val="22"/>
              </w:rPr>
            </w:pPr>
            <w:r w:rsidRPr="00F416BE">
              <w:rPr>
                <w:rFonts w:ascii="Times New Roman" w:hAnsi="Times New Roman"/>
                <w:b/>
                <w:bCs/>
                <w:color w:val="000000" w:themeColor="text1"/>
                <w:sz w:val="22"/>
                <w:szCs w:val="22"/>
              </w:rPr>
              <w:t>Day 2</w:t>
            </w:r>
          </w:p>
        </w:tc>
        <w:tc>
          <w:tcPr>
            <w:tcW w:w="1418" w:type="dxa"/>
            <w:tcBorders>
              <w:top w:val="single" w:sz="4" w:space="0" w:color="auto"/>
              <w:bottom w:val="single" w:sz="4" w:space="0" w:color="auto"/>
            </w:tcBorders>
          </w:tcPr>
          <w:p w14:paraId="2EC770DD" w14:textId="77777777" w:rsidR="001A7BFD" w:rsidRPr="00F416BE" w:rsidRDefault="001A7BFD" w:rsidP="00875E69">
            <w:pPr>
              <w:tabs>
                <w:tab w:val="right" w:pos="2585"/>
              </w:tabs>
              <w:spacing w:line="360" w:lineRule="auto"/>
              <w:contextualSpacing/>
              <w:jc w:val="center"/>
              <w:rPr>
                <w:rFonts w:ascii="Times New Roman" w:hAnsi="Times New Roman"/>
                <w:b/>
                <w:bCs/>
                <w:color w:val="000000" w:themeColor="text1"/>
                <w:sz w:val="22"/>
                <w:szCs w:val="22"/>
              </w:rPr>
            </w:pPr>
            <w:r w:rsidRPr="00F416BE">
              <w:rPr>
                <w:rFonts w:ascii="Times New Roman" w:hAnsi="Times New Roman"/>
                <w:b/>
                <w:bCs/>
                <w:color w:val="000000" w:themeColor="text1"/>
                <w:sz w:val="22"/>
                <w:szCs w:val="22"/>
              </w:rPr>
              <w:t>Day 3</w:t>
            </w:r>
          </w:p>
        </w:tc>
      </w:tr>
      <w:tr w:rsidR="001A7BFD" w:rsidRPr="00F416BE" w14:paraId="7AC50FD6" w14:textId="77777777" w:rsidTr="00C448BF">
        <w:trPr>
          <w:trHeight w:val="57"/>
        </w:trPr>
        <w:tc>
          <w:tcPr>
            <w:tcW w:w="2376" w:type="dxa"/>
            <w:tcBorders>
              <w:top w:val="single" w:sz="4" w:space="0" w:color="auto"/>
              <w:bottom w:val="single" w:sz="4" w:space="0" w:color="auto"/>
            </w:tcBorders>
          </w:tcPr>
          <w:p w14:paraId="54EA3029" w14:textId="77777777" w:rsidR="001A7BFD" w:rsidRPr="00F416BE" w:rsidRDefault="001A7BFD" w:rsidP="00875E69">
            <w:pPr>
              <w:spacing w:line="360" w:lineRule="auto"/>
              <w:contextualSpacing/>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Local</w:t>
            </w:r>
          </w:p>
          <w:p w14:paraId="37466F2F" w14:textId="77777777" w:rsidR="001A7BFD" w:rsidRPr="00F416BE" w:rsidRDefault="001A7BFD" w:rsidP="00875E69">
            <w:pPr>
              <w:pStyle w:val="ListParagraph"/>
              <w:numPr>
                <w:ilvl w:val="0"/>
                <w:numId w:val="11"/>
              </w:numPr>
              <w:spacing w:line="360" w:lineRule="auto"/>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painful</w:t>
            </w:r>
          </w:p>
          <w:p w14:paraId="24243332" w14:textId="77777777" w:rsidR="001A7BFD" w:rsidRPr="00F416BE" w:rsidRDefault="001A7BFD" w:rsidP="00875E69">
            <w:pPr>
              <w:pStyle w:val="ListParagraph"/>
              <w:numPr>
                <w:ilvl w:val="0"/>
                <w:numId w:val="11"/>
              </w:numPr>
              <w:spacing w:line="360" w:lineRule="auto"/>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redness</w:t>
            </w:r>
          </w:p>
          <w:p w14:paraId="1BCCC5D4" w14:textId="4C585B8B" w:rsidR="001A7BFD" w:rsidRPr="00F416BE" w:rsidRDefault="001A7BFD" w:rsidP="00875E69">
            <w:pPr>
              <w:pStyle w:val="ListParagraph"/>
              <w:numPr>
                <w:ilvl w:val="0"/>
                <w:numId w:val="11"/>
              </w:numPr>
              <w:spacing w:line="360" w:lineRule="auto"/>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Sw</w:t>
            </w:r>
            <w:r w:rsidR="001A1360">
              <w:rPr>
                <w:rFonts w:ascii="Times New Roman" w:hAnsi="Times New Roman"/>
                <w:color w:val="000000" w:themeColor="text1"/>
                <w:sz w:val="22"/>
                <w:szCs w:val="22"/>
              </w:rPr>
              <w:t>elling</w:t>
            </w:r>
          </w:p>
          <w:p w14:paraId="19CE267E" w14:textId="77777777" w:rsidR="001A7BFD" w:rsidRPr="00F416BE" w:rsidRDefault="001A7BFD" w:rsidP="00875E69">
            <w:pPr>
              <w:pStyle w:val="ListParagraph"/>
              <w:numPr>
                <w:ilvl w:val="0"/>
                <w:numId w:val="11"/>
              </w:numPr>
              <w:spacing w:line="360" w:lineRule="auto"/>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Itchy</w:t>
            </w:r>
          </w:p>
        </w:tc>
        <w:tc>
          <w:tcPr>
            <w:tcW w:w="1560" w:type="dxa"/>
            <w:tcBorders>
              <w:top w:val="single" w:sz="4" w:space="0" w:color="auto"/>
              <w:bottom w:val="single" w:sz="4" w:space="0" w:color="auto"/>
            </w:tcBorders>
          </w:tcPr>
          <w:p w14:paraId="14A76666"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p>
          <w:p w14:paraId="75101A7D"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17 (56.7)</w:t>
            </w:r>
          </w:p>
          <w:p w14:paraId="05D51989"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5B415471"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74514B50"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tc>
        <w:tc>
          <w:tcPr>
            <w:tcW w:w="1417" w:type="dxa"/>
            <w:tcBorders>
              <w:top w:val="single" w:sz="4" w:space="0" w:color="auto"/>
              <w:bottom w:val="single" w:sz="4" w:space="0" w:color="auto"/>
            </w:tcBorders>
          </w:tcPr>
          <w:p w14:paraId="6DC33B37"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p>
          <w:p w14:paraId="75C39042"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7 (23.3)</w:t>
            </w:r>
          </w:p>
          <w:p w14:paraId="6A8227BD"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1E3B6FEE"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6941B102"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1 (3.3)</w:t>
            </w:r>
          </w:p>
        </w:tc>
        <w:tc>
          <w:tcPr>
            <w:tcW w:w="1418" w:type="dxa"/>
            <w:tcBorders>
              <w:top w:val="single" w:sz="4" w:space="0" w:color="auto"/>
              <w:bottom w:val="single" w:sz="4" w:space="0" w:color="auto"/>
            </w:tcBorders>
          </w:tcPr>
          <w:p w14:paraId="183098BC"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p>
          <w:p w14:paraId="1B601334"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3 (10.0)</w:t>
            </w:r>
          </w:p>
          <w:p w14:paraId="4FCD807D"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19C72A02"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08A3461A"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1 (3.3)</w:t>
            </w:r>
          </w:p>
        </w:tc>
      </w:tr>
      <w:tr w:rsidR="001A7BFD" w:rsidRPr="00F416BE" w14:paraId="1D544949" w14:textId="77777777" w:rsidTr="00C448BF">
        <w:trPr>
          <w:trHeight w:val="57"/>
        </w:trPr>
        <w:tc>
          <w:tcPr>
            <w:tcW w:w="2376" w:type="dxa"/>
            <w:tcBorders>
              <w:top w:val="single" w:sz="4" w:space="0" w:color="auto"/>
              <w:bottom w:val="single" w:sz="4" w:space="0" w:color="auto"/>
            </w:tcBorders>
          </w:tcPr>
          <w:p w14:paraId="74FD6E03" w14:textId="68EFEED9" w:rsidR="001A7BFD" w:rsidRPr="00F416BE" w:rsidRDefault="00236C53" w:rsidP="00875E69">
            <w:pPr>
              <w:spacing w:line="360" w:lineRule="auto"/>
              <w:contextualSpacing/>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S</w:t>
            </w:r>
            <w:r w:rsidR="001A7BFD" w:rsidRPr="00F416BE">
              <w:rPr>
                <w:rFonts w:ascii="Times New Roman" w:hAnsi="Times New Roman"/>
                <w:color w:val="000000" w:themeColor="text1"/>
                <w:sz w:val="22"/>
                <w:szCs w:val="22"/>
              </w:rPr>
              <w:t>ystemic</w:t>
            </w:r>
          </w:p>
          <w:p w14:paraId="3972713C" w14:textId="77777777" w:rsidR="001A7BFD" w:rsidRPr="00F416BE" w:rsidRDefault="001A7BFD" w:rsidP="00875E69">
            <w:pPr>
              <w:pStyle w:val="ListParagraph"/>
              <w:numPr>
                <w:ilvl w:val="0"/>
                <w:numId w:val="11"/>
              </w:numPr>
              <w:spacing w:line="360" w:lineRule="auto"/>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Fever</w:t>
            </w:r>
          </w:p>
          <w:p w14:paraId="766EE648" w14:textId="77777777" w:rsidR="001A7BFD" w:rsidRPr="00F416BE" w:rsidRDefault="001A7BFD" w:rsidP="00875E69">
            <w:pPr>
              <w:pStyle w:val="ListParagraph"/>
              <w:numPr>
                <w:ilvl w:val="0"/>
                <w:numId w:val="11"/>
              </w:numPr>
              <w:spacing w:line="360" w:lineRule="auto"/>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Muscle ache</w:t>
            </w:r>
          </w:p>
          <w:p w14:paraId="1785500B" w14:textId="77777777" w:rsidR="001A7BFD" w:rsidRPr="00F416BE" w:rsidRDefault="001A7BFD" w:rsidP="00875E69">
            <w:pPr>
              <w:pStyle w:val="ListParagraph"/>
              <w:numPr>
                <w:ilvl w:val="0"/>
                <w:numId w:val="11"/>
              </w:numPr>
              <w:spacing w:line="360" w:lineRule="auto"/>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Fatigue</w:t>
            </w:r>
          </w:p>
          <w:p w14:paraId="705C8172" w14:textId="77777777" w:rsidR="001A7BFD" w:rsidRPr="00F416BE" w:rsidRDefault="001A7BFD" w:rsidP="00875E69">
            <w:pPr>
              <w:pStyle w:val="ListParagraph"/>
              <w:numPr>
                <w:ilvl w:val="0"/>
                <w:numId w:val="11"/>
              </w:numPr>
              <w:spacing w:line="360" w:lineRule="auto"/>
              <w:jc w:val="both"/>
              <w:rPr>
                <w:rFonts w:ascii="Times New Roman" w:hAnsi="Times New Roman"/>
                <w:color w:val="000000" w:themeColor="text1"/>
                <w:sz w:val="22"/>
                <w:szCs w:val="22"/>
              </w:rPr>
            </w:pPr>
            <w:r w:rsidRPr="00F416BE">
              <w:rPr>
                <w:rFonts w:ascii="Times New Roman" w:hAnsi="Times New Roman"/>
                <w:color w:val="000000" w:themeColor="text1"/>
                <w:sz w:val="22"/>
                <w:szCs w:val="22"/>
              </w:rPr>
              <w:t>Headache</w:t>
            </w:r>
          </w:p>
        </w:tc>
        <w:tc>
          <w:tcPr>
            <w:tcW w:w="1560" w:type="dxa"/>
            <w:tcBorders>
              <w:top w:val="single" w:sz="4" w:space="0" w:color="auto"/>
              <w:bottom w:val="single" w:sz="4" w:space="0" w:color="auto"/>
            </w:tcBorders>
          </w:tcPr>
          <w:p w14:paraId="27DEEF3F"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p>
          <w:p w14:paraId="2E8D0F0B"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1 (3.3)</w:t>
            </w:r>
          </w:p>
          <w:p w14:paraId="7486D396"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4 (13.3)</w:t>
            </w:r>
          </w:p>
          <w:p w14:paraId="73702357"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3008B891"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tc>
        <w:tc>
          <w:tcPr>
            <w:tcW w:w="1417" w:type="dxa"/>
            <w:tcBorders>
              <w:top w:val="single" w:sz="4" w:space="0" w:color="auto"/>
              <w:bottom w:val="single" w:sz="4" w:space="0" w:color="auto"/>
            </w:tcBorders>
          </w:tcPr>
          <w:p w14:paraId="599D652C"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p>
          <w:p w14:paraId="063F224E"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3F13AB3B"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4 (13.3)</w:t>
            </w:r>
          </w:p>
          <w:p w14:paraId="709CC64E"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4970904D"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tc>
        <w:tc>
          <w:tcPr>
            <w:tcW w:w="1418" w:type="dxa"/>
            <w:tcBorders>
              <w:top w:val="single" w:sz="4" w:space="0" w:color="auto"/>
              <w:bottom w:val="single" w:sz="4" w:space="0" w:color="auto"/>
            </w:tcBorders>
          </w:tcPr>
          <w:p w14:paraId="7E5CBE73"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p>
          <w:p w14:paraId="470331DF"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609D07A9"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2 (6.7)</w:t>
            </w:r>
          </w:p>
          <w:p w14:paraId="033BBB76"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p w14:paraId="259341E9" w14:textId="77777777" w:rsidR="001A7BFD" w:rsidRPr="00F416BE" w:rsidRDefault="001A7BFD" w:rsidP="00875E69">
            <w:pPr>
              <w:tabs>
                <w:tab w:val="right" w:pos="2585"/>
              </w:tabs>
              <w:spacing w:line="360" w:lineRule="auto"/>
              <w:contextualSpacing/>
              <w:jc w:val="center"/>
              <w:rPr>
                <w:rFonts w:ascii="Times New Roman" w:hAnsi="Times New Roman"/>
                <w:color w:val="000000" w:themeColor="text1"/>
                <w:sz w:val="22"/>
                <w:szCs w:val="22"/>
              </w:rPr>
            </w:pPr>
            <w:r w:rsidRPr="00F416BE">
              <w:rPr>
                <w:rFonts w:ascii="Times New Roman" w:hAnsi="Times New Roman"/>
                <w:color w:val="000000" w:themeColor="text1"/>
                <w:sz w:val="22"/>
                <w:szCs w:val="22"/>
              </w:rPr>
              <w:t>0 (0.0)</w:t>
            </w:r>
          </w:p>
        </w:tc>
      </w:tr>
      <w:bookmarkEnd w:id="6"/>
    </w:tbl>
    <w:p w14:paraId="458C447E" w14:textId="77777777" w:rsidR="001A7BFD" w:rsidRPr="00F416BE" w:rsidRDefault="001A7BFD" w:rsidP="00875E69">
      <w:pPr>
        <w:pStyle w:val="BAB"/>
        <w:contextualSpacing/>
        <w:outlineLvl w:val="0"/>
        <w:rPr>
          <w:color w:val="000000" w:themeColor="text1"/>
        </w:rPr>
      </w:pPr>
    </w:p>
    <w:p w14:paraId="1357CDF7" w14:textId="1F154EC5" w:rsidR="001A7BFD" w:rsidRPr="008E5BFC" w:rsidRDefault="001A7BFD" w:rsidP="00875E69">
      <w:pPr>
        <w:spacing w:line="360" w:lineRule="auto"/>
        <w:contextualSpacing/>
        <w:jc w:val="center"/>
        <w:outlineLvl w:val="0"/>
        <w:rPr>
          <w:rFonts w:ascii="Times New Roman" w:hAnsi="Times New Roman"/>
          <w:color w:val="000000" w:themeColor="text1"/>
          <w:sz w:val="22"/>
          <w:szCs w:val="22"/>
        </w:rPr>
      </w:pPr>
      <w:r w:rsidRPr="008E5BFC">
        <w:rPr>
          <w:rFonts w:ascii="Times New Roman" w:hAnsi="Times New Roman"/>
          <w:color w:val="000000" w:themeColor="text1"/>
          <w:sz w:val="22"/>
          <w:szCs w:val="22"/>
        </w:rPr>
        <w:t xml:space="preserve">table 4.4 </w:t>
      </w:r>
      <w:r w:rsidR="008E5BFC" w:rsidRPr="008E5BFC">
        <w:rPr>
          <w:rFonts w:ascii="Times New Roman" w:eastAsia="Calibri" w:hAnsi="Times New Roman"/>
          <w:sz w:val="24"/>
          <w:szCs w:val="24"/>
        </w:rPr>
        <w:t>AEFI</w:t>
      </w:r>
      <w:r w:rsidR="008E5BFC">
        <w:rPr>
          <w:rFonts w:ascii="Times New Roman" w:eastAsia="Calibri" w:hAnsi="Times New Roman"/>
          <w:sz w:val="24"/>
          <w:szCs w:val="24"/>
        </w:rPr>
        <w:t xml:space="preserve"> and Antibody R</w:t>
      </w:r>
      <w:r w:rsidR="008E5BFC" w:rsidRPr="008E5BFC">
        <w:rPr>
          <w:rFonts w:ascii="Times New Roman" w:eastAsia="Calibri" w:hAnsi="Times New Roman"/>
          <w:sz w:val="24"/>
          <w:szCs w:val="24"/>
        </w:rPr>
        <w:t>esponse</w:t>
      </w:r>
      <w:r w:rsidR="008E5BFC">
        <w:rPr>
          <w:rFonts w:ascii="Times New Roman" w:eastAsia="Calibri" w:hAnsi="Times New Roman"/>
          <w:sz w:val="24"/>
          <w:szCs w:val="24"/>
        </w:rPr>
        <w:t xml:space="preserve"> </w:t>
      </w:r>
      <w:r w:rsidR="008E5BFC" w:rsidRPr="00F416BE">
        <w:rPr>
          <w:rFonts w:ascii="Times New Roman" w:hAnsi="Times New Roman"/>
          <w:color w:val="000000" w:themeColor="text1"/>
          <w:sz w:val="22"/>
          <w:szCs w:val="22"/>
        </w:rPr>
        <w:t>Against Diphtheria Toxin</w:t>
      </w:r>
    </w:p>
    <w:p w14:paraId="2A853AFF" w14:textId="77777777" w:rsidR="001A7BFD" w:rsidRPr="00F416BE" w:rsidRDefault="001A7BFD" w:rsidP="00875E69">
      <w:pPr>
        <w:spacing w:line="360" w:lineRule="auto"/>
        <w:contextualSpacing/>
        <w:outlineLvl w:val="0"/>
        <w:rPr>
          <w:rFonts w:ascii="Times New Roman" w:hAnsi="Times New Roman"/>
          <w:b/>
          <w:color w:val="000000" w:themeColor="text1"/>
          <w:sz w:val="22"/>
          <w:szCs w:val="22"/>
        </w:rPr>
      </w:pPr>
    </w:p>
    <w:tbl>
      <w:tblPr>
        <w:tblStyle w:val="TableGrid"/>
        <w:tblW w:w="8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88"/>
        <w:gridCol w:w="1710"/>
        <w:gridCol w:w="1890"/>
        <w:gridCol w:w="1980"/>
      </w:tblGrid>
      <w:tr w:rsidR="008E5BFC" w:rsidRPr="00BC6436" w14:paraId="4263917F" w14:textId="77777777" w:rsidTr="008E5BFC">
        <w:trPr>
          <w:trHeight w:val="57"/>
        </w:trPr>
        <w:tc>
          <w:tcPr>
            <w:tcW w:w="2988" w:type="dxa"/>
            <w:vMerge w:val="restart"/>
            <w:tcBorders>
              <w:top w:val="single" w:sz="4" w:space="0" w:color="auto"/>
            </w:tcBorders>
            <w:vAlign w:val="center"/>
          </w:tcPr>
          <w:p w14:paraId="2E0F84AA" w14:textId="7A4C24DC" w:rsidR="008E5BFC" w:rsidRPr="00BC6436" w:rsidRDefault="008E5BFC" w:rsidP="00706EA7">
            <w:pPr>
              <w:contextualSpacing/>
              <w:jc w:val="center"/>
              <w:rPr>
                <w:rFonts w:ascii="Times New Roman" w:hAnsi="Times New Roman"/>
                <w:b/>
                <w:bCs/>
                <w:color w:val="000000" w:themeColor="text1"/>
                <w:sz w:val="22"/>
                <w:szCs w:val="22"/>
              </w:rPr>
            </w:pPr>
            <w:r>
              <w:rPr>
                <w:rFonts w:ascii="Times New Roman" w:eastAsia="Calibri" w:hAnsi="Times New Roman"/>
                <w:b/>
                <w:sz w:val="24"/>
                <w:szCs w:val="24"/>
              </w:rPr>
              <w:t>AEFI</w:t>
            </w:r>
          </w:p>
        </w:tc>
        <w:tc>
          <w:tcPr>
            <w:tcW w:w="5580" w:type="dxa"/>
            <w:gridSpan w:val="3"/>
            <w:tcBorders>
              <w:top w:val="single" w:sz="4" w:space="0" w:color="auto"/>
              <w:bottom w:val="single" w:sz="4" w:space="0" w:color="auto"/>
            </w:tcBorders>
          </w:tcPr>
          <w:p w14:paraId="24614367" w14:textId="77498CC1" w:rsidR="008E5BFC" w:rsidRPr="00BC6436" w:rsidRDefault="008E5BFC" w:rsidP="00706EA7">
            <w:pPr>
              <w:tabs>
                <w:tab w:val="right" w:pos="2585"/>
              </w:tabs>
              <w:contextualSpacing/>
              <w:jc w:val="center"/>
              <w:rPr>
                <w:rFonts w:ascii="Times New Roman" w:hAnsi="Times New Roman"/>
                <w:b/>
                <w:bCs/>
                <w:color w:val="000000" w:themeColor="text1"/>
                <w:sz w:val="22"/>
                <w:szCs w:val="22"/>
              </w:rPr>
            </w:pPr>
            <w:r w:rsidRPr="00F416BE">
              <w:rPr>
                <w:rFonts w:ascii="Times New Roman" w:hAnsi="Times New Roman"/>
                <w:b/>
                <w:bCs/>
                <w:color w:val="000000" w:themeColor="text1"/>
              </w:rPr>
              <w:t>Antibody Response</w:t>
            </w:r>
          </w:p>
        </w:tc>
      </w:tr>
      <w:tr w:rsidR="008E5BFC" w:rsidRPr="00BC6436" w14:paraId="772B72AE" w14:textId="77777777" w:rsidTr="008E5BFC">
        <w:trPr>
          <w:trHeight w:val="57"/>
        </w:trPr>
        <w:tc>
          <w:tcPr>
            <w:tcW w:w="2988" w:type="dxa"/>
            <w:vMerge/>
            <w:tcBorders>
              <w:bottom w:val="single" w:sz="4" w:space="0" w:color="auto"/>
            </w:tcBorders>
            <w:vAlign w:val="center"/>
          </w:tcPr>
          <w:p w14:paraId="00D18F21" w14:textId="77777777" w:rsidR="008E5BFC" w:rsidRPr="00BC6436" w:rsidRDefault="008E5BFC" w:rsidP="00706EA7">
            <w:pPr>
              <w:contextualSpacing/>
              <w:jc w:val="center"/>
              <w:rPr>
                <w:rFonts w:ascii="Times New Roman" w:hAnsi="Times New Roman"/>
                <w:b/>
                <w:bCs/>
                <w:color w:val="000000" w:themeColor="text1"/>
                <w:sz w:val="22"/>
                <w:szCs w:val="22"/>
              </w:rPr>
            </w:pPr>
          </w:p>
        </w:tc>
        <w:tc>
          <w:tcPr>
            <w:tcW w:w="1710" w:type="dxa"/>
            <w:tcBorders>
              <w:top w:val="single" w:sz="4" w:space="0" w:color="auto"/>
              <w:bottom w:val="single" w:sz="4" w:space="0" w:color="auto"/>
            </w:tcBorders>
          </w:tcPr>
          <w:p w14:paraId="026C9E3D" w14:textId="77777777" w:rsidR="008E5BFC" w:rsidRPr="00BC6436" w:rsidRDefault="008E5BFC" w:rsidP="00706EA7">
            <w:pPr>
              <w:tabs>
                <w:tab w:val="right" w:pos="2585"/>
              </w:tabs>
              <w:contextualSpacing/>
              <w:jc w:val="center"/>
              <w:rPr>
                <w:rFonts w:ascii="Times New Roman" w:hAnsi="Times New Roman"/>
                <w:b/>
                <w:bCs/>
                <w:color w:val="000000" w:themeColor="text1"/>
                <w:sz w:val="22"/>
                <w:szCs w:val="22"/>
              </w:rPr>
            </w:pPr>
            <w:r w:rsidRPr="00BC6436">
              <w:rPr>
                <w:rFonts w:ascii="Times New Roman" w:hAnsi="Times New Roman"/>
                <w:b/>
                <w:bCs/>
                <w:color w:val="000000" w:themeColor="text1"/>
                <w:sz w:val="22"/>
                <w:szCs w:val="22"/>
              </w:rPr>
              <w:t>&lt;0.01 IU/mL</w:t>
            </w:r>
          </w:p>
        </w:tc>
        <w:tc>
          <w:tcPr>
            <w:tcW w:w="1890" w:type="dxa"/>
            <w:tcBorders>
              <w:top w:val="single" w:sz="4" w:space="0" w:color="auto"/>
              <w:bottom w:val="single" w:sz="4" w:space="0" w:color="auto"/>
            </w:tcBorders>
          </w:tcPr>
          <w:p w14:paraId="1BFF34F3" w14:textId="77777777" w:rsidR="008E5BFC" w:rsidRPr="00BC6436" w:rsidRDefault="008E5BFC" w:rsidP="00706EA7">
            <w:pPr>
              <w:tabs>
                <w:tab w:val="right" w:pos="2585"/>
              </w:tabs>
              <w:contextualSpacing/>
              <w:jc w:val="center"/>
              <w:rPr>
                <w:rFonts w:ascii="Times New Roman" w:hAnsi="Times New Roman"/>
                <w:b/>
                <w:bCs/>
                <w:color w:val="000000" w:themeColor="text1"/>
                <w:sz w:val="22"/>
                <w:szCs w:val="22"/>
              </w:rPr>
            </w:pPr>
            <w:r w:rsidRPr="00BC6436">
              <w:rPr>
                <w:rFonts w:ascii="Times New Roman" w:hAnsi="Times New Roman"/>
                <w:b/>
                <w:bCs/>
                <w:color w:val="000000" w:themeColor="text1"/>
                <w:sz w:val="22"/>
                <w:szCs w:val="22"/>
              </w:rPr>
              <w:t>0.01-0.1 IU/mL</w:t>
            </w:r>
          </w:p>
        </w:tc>
        <w:tc>
          <w:tcPr>
            <w:tcW w:w="1980" w:type="dxa"/>
            <w:tcBorders>
              <w:top w:val="single" w:sz="4" w:space="0" w:color="auto"/>
              <w:bottom w:val="single" w:sz="4" w:space="0" w:color="auto"/>
            </w:tcBorders>
          </w:tcPr>
          <w:p w14:paraId="289F0264" w14:textId="77777777" w:rsidR="008E5BFC" w:rsidRPr="00BC6436" w:rsidRDefault="008E5BFC" w:rsidP="00706EA7">
            <w:pPr>
              <w:tabs>
                <w:tab w:val="right" w:pos="2585"/>
              </w:tabs>
              <w:contextualSpacing/>
              <w:jc w:val="center"/>
              <w:rPr>
                <w:rFonts w:ascii="Times New Roman" w:hAnsi="Times New Roman"/>
                <w:b/>
                <w:bCs/>
                <w:color w:val="000000" w:themeColor="text1"/>
                <w:sz w:val="22"/>
                <w:szCs w:val="22"/>
              </w:rPr>
            </w:pPr>
            <w:r w:rsidRPr="00BC6436">
              <w:rPr>
                <w:rFonts w:ascii="Times New Roman" w:hAnsi="Times New Roman" w:cs="Times New Roman"/>
                <w:b/>
                <w:color w:val="000000" w:themeColor="text1"/>
                <w:sz w:val="22"/>
                <w:szCs w:val="22"/>
              </w:rPr>
              <w:t>≥0.1 IU/mL</w:t>
            </w:r>
          </w:p>
        </w:tc>
      </w:tr>
      <w:tr w:rsidR="008E5BFC" w:rsidRPr="00BC6436" w14:paraId="098E1713" w14:textId="77777777" w:rsidTr="008E5BFC">
        <w:trPr>
          <w:trHeight w:val="57"/>
        </w:trPr>
        <w:tc>
          <w:tcPr>
            <w:tcW w:w="2988" w:type="dxa"/>
            <w:tcBorders>
              <w:top w:val="single" w:sz="4" w:space="0" w:color="auto"/>
              <w:bottom w:val="single" w:sz="4" w:space="0" w:color="auto"/>
            </w:tcBorders>
          </w:tcPr>
          <w:p w14:paraId="58DB762E" w14:textId="628160F2" w:rsidR="008E5BFC" w:rsidRPr="00BC6436" w:rsidRDefault="008E5BFC" w:rsidP="00706EA7">
            <w:pPr>
              <w:ind w:left="360"/>
              <w:jc w:val="center"/>
              <w:rPr>
                <w:rFonts w:ascii="Times New Roman" w:hAnsi="Times New Roman"/>
                <w:b/>
                <w:color w:val="000000" w:themeColor="text1"/>
                <w:sz w:val="22"/>
                <w:szCs w:val="22"/>
              </w:rPr>
            </w:pPr>
            <w:r>
              <w:rPr>
                <w:rFonts w:ascii="Times New Roman" w:hAnsi="Times New Roman"/>
                <w:b/>
                <w:color w:val="000000" w:themeColor="text1"/>
                <w:sz w:val="22"/>
                <w:szCs w:val="22"/>
              </w:rPr>
              <w:t>Day</w:t>
            </w:r>
            <w:r w:rsidRPr="00BC6436">
              <w:rPr>
                <w:rFonts w:ascii="Times New Roman" w:hAnsi="Times New Roman"/>
                <w:b/>
                <w:color w:val="000000" w:themeColor="text1"/>
                <w:sz w:val="22"/>
                <w:szCs w:val="22"/>
              </w:rPr>
              <w:t xml:space="preserve"> I</w:t>
            </w:r>
          </w:p>
          <w:p w14:paraId="7651B9C5" w14:textId="2B4CBCA0" w:rsidR="008E5BFC" w:rsidRPr="00BC6436" w:rsidRDefault="008E5BFC" w:rsidP="00706EA7">
            <w:pPr>
              <w:ind w:left="360"/>
              <w:jc w:val="both"/>
              <w:rPr>
                <w:rFonts w:ascii="Times New Roman" w:hAnsi="Times New Roman"/>
                <w:color w:val="000000" w:themeColor="text1"/>
                <w:sz w:val="22"/>
                <w:szCs w:val="22"/>
              </w:rPr>
            </w:pPr>
            <w:r>
              <w:rPr>
                <w:rFonts w:ascii="Times New Roman" w:hAnsi="Times New Roman"/>
                <w:color w:val="000000" w:themeColor="text1"/>
                <w:sz w:val="22"/>
                <w:szCs w:val="22"/>
              </w:rPr>
              <w:t>Local (painful</w:t>
            </w:r>
            <w:r w:rsidRPr="00BC6436">
              <w:rPr>
                <w:rFonts w:ascii="Times New Roman" w:hAnsi="Times New Roman"/>
                <w:color w:val="000000" w:themeColor="text1"/>
                <w:sz w:val="22"/>
                <w:szCs w:val="22"/>
              </w:rPr>
              <w:t xml:space="preserve">) </w:t>
            </w:r>
          </w:p>
          <w:p w14:paraId="3850AC75" w14:textId="52CB1FC6" w:rsidR="008E5BFC" w:rsidRPr="00BC6436" w:rsidRDefault="008E5BFC" w:rsidP="00706EA7">
            <w:pPr>
              <w:ind w:left="360"/>
              <w:jc w:val="both"/>
              <w:rPr>
                <w:rFonts w:ascii="Times New Roman" w:hAnsi="Times New Roman"/>
                <w:color w:val="000000" w:themeColor="text1"/>
                <w:sz w:val="22"/>
                <w:szCs w:val="22"/>
              </w:rPr>
            </w:pPr>
            <w:proofErr w:type="gramStart"/>
            <w:r>
              <w:rPr>
                <w:rFonts w:ascii="Times New Roman" w:hAnsi="Times New Roman"/>
                <w:color w:val="000000" w:themeColor="text1"/>
                <w:sz w:val="22"/>
                <w:szCs w:val="22"/>
              </w:rPr>
              <w:t>Systemic</w:t>
            </w:r>
            <w:r w:rsidRPr="00BC6436">
              <w:rPr>
                <w:rFonts w:ascii="Times New Roman" w:hAnsi="Times New Roman"/>
                <w:color w:val="000000" w:themeColor="text1"/>
                <w:sz w:val="22"/>
                <w:szCs w:val="22"/>
              </w:rPr>
              <w:t xml:space="preserve">  :</w:t>
            </w:r>
            <w:proofErr w:type="gramEnd"/>
            <w:r w:rsidRPr="00BC6436">
              <w:rPr>
                <w:rFonts w:ascii="Times New Roman" w:hAnsi="Times New Roman"/>
                <w:color w:val="000000" w:themeColor="text1"/>
                <w:sz w:val="22"/>
                <w:szCs w:val="22"/>
              </w:rPr>
              <w:t xml:space="preserve"> -</w:t>
            </w:r>
            <w:r>
              <w:rPr>
                <w:rFonts w:ascii="Times New Roman" w:hAnsi="Times New Roman"/>
                <w:color w:val="000000" w:themeColor="text1"/>
                <w:sz w:val="22"/>
                <w:szCs w:val="22"/>
              </w:rPr>
              <w:t>Muscle ache</w:t>
            </w:r>
          </w:p>
          <w:p w14:paraId="09F4E1F1" w14:textId="20C3FECD" w:rsidR="008E5BFC" w:rsidRPr="00BC6436" w:rsidRDefault="008E5BFC" w:rsidP="00706EA7">
            <w:pPr>
              <w:ind w:left="360"/>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                  - Fever</w:t>
            </w:r>
          </w:p>
        </w:tc>
        <w:tc>
          <w:tcPr>
            <w:tcW w:w="1710" w:type="dxa"/>
            <w:tcBorders>
              <w:top w:val="single" w:sz="4" w:space="0" w:color="auto"/>
              <w:bottom w:val="single" w:sz="4" w:space="0" w:color="auto"/>
            </w:tcBorders>
          </w:tcPr>
          <w:p w14:paraId="128CA170"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p>
          <w:p w14:paraId="3819F2B8"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1 (5.88%)</w:t>
            </w:r>
          </w:p>
          <w:p w14:paraId="56815D0D" w14:textId="77777777" w:rsidR="008E5BFC" w:rsidRPr="00BC6436" w:rsidRDefault="008E5BFC" w:rsidP="00706EA7">
            <w:pPr>
              <w:tabs>
                <w:tab w:val="left" w:pos="974"/>
              </w:tabs>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p w14:paraId="3BDB9E41" w14:textId="77777777" w:rsidR="008E5BFC" w:rsidRPr="00BC6436" w:rsidRDefault="008E5BFC" w:rsidP="00706EA7">
            <w:pPr>
              <w:tabs>
                <w:tab w:val="left" w:pos="974"/>
              </w:tabs>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tc>
        <w:tc>
          <w:tcPr>
            <w:tcW w:w="1890" w:type="dxa"/>
            <w:tcBorders>
              <w:top w:val="single" w:sz="4" w:space="0" w:color="auto"/>
              <w:bottom w:val="single" w:sz="4" w:space="0" w:color="auto"/>
            </w:tcBorders>
          </w:tcPr>
          <w:p w14:paraId="7352F7FB"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p>
          <w:p w14:paraId="51004641"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6 (35.3%)</w:t>
            </w:r>
          </w:p>
          <w:p w14:paraId="1293FF03"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1 (33.3%)</w:t>
            </w:r>
          </w:p>
          <w:p w14:paraId="52AACFEF"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1 (100%)</w:t>
            </w:r>
          </w:p>
        </w:tc>
        <w:tc>
          <w:tcPr>
            <w:tcW w:w="1980" w:type="dxa"/>
            <w:tcBorders>
              <w:top w:val="single" w:sz="4" w:space="0" w:color="auto"/>
              <w:bottom w:val="single" w:sz="4" w:space="0" w:color="auto"/>
            </w:tcBorders>
          </w:tcPr>
          <w:p w14:paraId="7DF7E65A"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p>
          <w:p w14:paraId="2A4D056E"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10 (58.82%)</w:t>
            </w:r>
          </w:p>
          <w:p w14:paraId="67D614D1"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2 (66.7%)</w:t>
            </w:r>
          </w:p>
          <w:p w14:paraId="1AE9772F"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tc>
      </w:tr>
      <w:tr w:rsidR="008E5BFC" w:rsidRPr="00BC6436" w14:paraId="665F2851" w14:textId="77777777" w:rsidTr="008E5BFC">
        <w:trPr>
          <w:trHeight w:val="57"/>
        </w:trPr>
        <w:tc>
          <w:tcPr>
            <w:tcW w:w="2988" w:type="dxa"/>
            <w:tcBorders>
              <w:top w:val="single" w:sz="4" w:space="0" w:color="auto"/>
              <w:bottom w:val="single" w:sz="4" w:space="0" w:color="auto"/>
            </w:tcBorders>
          </w:tcPr>
          <w:p w14:paraId="2B17F4F1" w14:textId="42000412" w:rsidR="008E5BFC" w:rsidRPr="00BC6436" w:rsidRDefault="008E5BFC" w:rsidP="00706EA7">
            <w:pPr>
              <w:ind w:left="360"/>
              <w:jc w:val="center"/>
              <w:rPr>
                <w:rFonts w:ascii="Times New Roman" w:hAnsi="Times New Roman"/>
                <w:b/>
                <w:color w:val="000000" w:themeColor="text1"/>
                <w:sz w:val="22"/>
                <w:szCs w:val="22"/>
              </w:rPr>
            </w:pPr>
            <w:r>
              <w:rPr>
                <w:rFonts w:ascii="Times New Roman" w:hAnsi="Times New Roman"/>
                <w:b/>
                <w:color w:val="000000" w:themeColor="text1"/>
                <w:sz w:val="22"/>
                <w:szCs w:val="22"/>
              </w:rPr>
              <w:t>Day</w:t>
            </w:r>
            <w:r w:rsidRPr="00BC6436">
              <w:rPr>
                <w:rFonts w:ascii="Times New Roman" w:hAnsi="Times New Roman"/>
                <w:b/>
                <w:color w:val="000000" w:themeColor="text1"/>
                <w:sz w:val="22"/>
                <w:szCs w:val="22"/>
              </w:rPr>
              <w:t xml:space="preserve"> II</w:t>
            </w:r>
          </w:p>
          <w:p w14:paraId="511C8E80" w14:textId="63E6A230" w:rsidR="008E5BFC" w:rsidRPr="00BC6436" w:rsidRDefault="008E5BFC" w:rsidP="00706EA7">
            <w:pPr>
              <w:ind w:left="360"/>
              <w:jc w:val="both"/>
              <w:rPr>
                <w:rFonts w:ascii="Times New Roman" w:hAnsi="Times New Roman"/>
                <w:color w:val="000000" w:themeColor="text1"/>
                <w:sz w:val="22"/>
                <w:szCs w:val="22"/>
              </w:rPr>
            </w:pPr>
            <w:proofErr w:type="gramStart"/>
            <w:r>
              <w:rPr>
                <w:rFonts w:ascii="Times New Roman" w:hAnsi="Times New Roman"/>
                <w:color w:val="000000" w:themeColor="text1"/>
                <w:sz w:val="22"/>
                <w:szCs w:val="22"/>
              </w:rPr>
              <w:t>Local :</w:t>
            </w:r>
            <w:proofErr w:type="gramEnd"/>
            <w:r>
              <w:rPr>
                <w:rFonts w:ascii="Times New Roman" w:hAnsi="Times New Roman"/>
                <w:color w:val="000000" w:themeColor="text1"/>
                <w:sz w:val="22"/>
                <w:szCs w:val="22"/>
              </w:rPr>
              <w:t xml:space="preserve"> - Painful</w:t>
            </w:r>
          </w:p>
          <w:p w14:paraId="4F93B33E" w14:textId="0071124B" w:rsidR="008E5BFC" w:rsidRPr="00BC6436" w:rsidRDefault="008E5BFC" w:rsidP="00706EA7">
            <w:pPr>
              <w:ind w:left="360"/>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             - Itchy</w:t>
            </w:r>
          </w:p>
          <w:p w14:paraId="70503D31" w14:textId="284890C4" w:rsidR="008E5BFC" w:rsidRPr="00BC6436" w:rsidRDefault="008E5BFC" w:rsidP="008E5BFC">
            <w:pPr>
              <w:ind w:left="360"/>
              <w:jc w:val="both"/>
              <w:rPr>
                <w:rFonts w:ascii="Times New Roman" w:hAnsi="Times New Roman"/>
                <w:color w:val="000000" w:themeColor="text1"/>
                <w:sz w:val="22"/>
                <w:szCs w:val="22"/>
              </w:rPr>
            </w:pPr>
            <w:r>
              <w:rPr>
                <w:rFonts w:ascii="Times New Roman" w:hAnsi="Times New Roman"/>
                <w:color w:val="000000" w:themeColor="text1"/>
                <w:sz w:val="22"/>
                <w:szCs w:val="22"/>
              </w:rPr>
              <w:t>Systemic</w:t>
            </w:r>
            <w:r w:rsidRPr="00BC6436">
              <w:rPr>
                <w:rFonts w:ascii="Times New Roman" w:hAnsi="Times New Roman"/>
                <w:color w:val="000000" w:themeColor="text1"/>
                <w:sz w:val="22"/>
                <w:szCs w:val="22"/>
              </w:rPr>
              <w:t xml:space="preserve">  (</w:t>
            </w:r>
            <w:r>
              <w:rPr>
                <w:rFonts w:ascii="Times New Roman" w:hAnsi="Times New Roman"/>
                <w:color w:val="000000" w:themeColor="text1"/>
                <w:sz w:val="22"/>
                <w:szCs w:val="22"/>
              </w:rPr>
              <w:t>Muscle ache</w:t>
            </w:r>
            <w:r w:rsidRPr="00BC6436">
              <w:rPr>
                <w:rFonts w:ascii="Times New Roman" w:hAnsi="Times New Roman"/>
                <w:color w:val="000000" w:themeColor="text1"/>
                <w:sz w:val="22"/>
                <w:szCs w:val="22"/>
              </w:rPr>
              <w:t>)</w:t>
            </w:r>
          </w:p>
        </w:tc>
        <w:tc>
          <w:tcPr>
            <w:tcW w:w="1710" w:type="dxa"/>
            <w:tcBorders>
              <w:top w:val="single" w:sz="4" w:space="0" w:color="auto"/>
              <w:bottom w:val="single" w:sz="4" w:space="0" w:color="auto"/>
            </w:tcBorders>
          </w:tcPr>
          <w:p w14:paraId="514881AD"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p>
          <w:p w14:paraId="65A3B3DF"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p w14:paraId="54384CAD"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p w14:paraId="0EE25A73"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tc>
        <w:tc>
          <w:tcPr>
            <w:tcW w:w="1890" w:type="dxa"/>
            <w:tcBorders>
              <w:top w:val="single" w:sz="4" w:space="0" w:color="auto"/>
              <w:bottom w:val="single" w:sz="4" w:space="0" w:color="auto"/>
            </w:tcBorders>
          </w:tcPr>
          <w:p w14:paraId="1CB499D6"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p>
          <w:p w14:paraId="577E7916"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1 (14.3%)</w:t>
            </w:r>
          </w:p>
          <w:p w14:paraId="29F832BC"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p w14:paraId="31BF25CC"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tc>
        <w:tc>
          <w:tcPr>
            <w:tcW w:w="1980" w:type="dxa"/>
            <w:tcBorders>
              <w:top w:val="single" w:sz="4" w:space="0" w:color="auto"/>
              <w:bottom w:val="single" w:sz="4" w:space="0" w:color="auto"/>
            </w:tcBorders>
          </w:tcPr>
          <w:p w14:paraId="0D19D23D"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p>
          <w:p w14:paraId="32A31A72"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6(85.7%)</w:t>
            </w:r>
          </w:p>
          <w:p w14:paraId="363A484E"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1 (100%)</w:t>
            </w:r>
          </w:p>
          <w:p w14:paraId="74F49759"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4 (100%)</w:t>
            </w:r>
          </w:p>
        </w:tc>
      </w:tr>
      <w:tr w:rsidR="008E5BFC" w:rsidRPr="00BC6436" w14:paraId="6FCC90D7" w14:textId="77777777" w:rsidTr="008E5BFC">
        <w:trPr>
          <w:trHeight w:val="57"/>
        </w:trPr>
        <w:tc>
          <w:tcPr>
            <w:tcW w:w="2988" w:type="dxa"/>
            <w:tcBorders>
              <w:top w:val="single" w:sz="4" w:space="0" w:color="auto"/>
              <w:bottom w:val="single" w:sz="4" w:space="0" w:color="auto"/>
            </w:tcBorders>
          </w:tcPr>
          <w:p w14:paraId="6B9A9659" w14:textId="0DF68CA2" w:rsidR="008E5BFC" w:rsidRPr="00BC6436" w:rsidRDefault="008E5BFC" w:rsidP="00706EA7">
            <w:pPr>
              <w:ind w:left="360"/>
              <w:jc w:val="center"/>
              <w:rPr>
                <w:rFonts w:ascii="Times New Roman" w:hAnsi="Times New Roman"/>
                <w:b/>
                <w:color w:val="000000" w:themeColor="text1"/>
                <w:sz w:val="22"/>
                <w:szCs w:val="22"/>
              </w:rPr>
            </w:pPr>
            <w:r>
              <w:rPr>
                <w:rFonts w:ascii="Times New Roman" w:hAnsi="Times New Roman"/>
                <w:b/>
                <w:color w:val="000000" w:themeColor="text1"/>
                <w:sz w:val="22"/>
                <w:szCs w:val="22"/>
              </w:rPr>
              <w:t xml:space="preserve">Day </w:t>
            </w:r>
            <w:r w:rsidRPr="00BC6436">
              <w:rPr>
                <w:rFonts w:ascii="Times New Roman" w:hAnsi="Times New Roman"/>
                <w:b/>
                <w:color w:val="000000" w:themeColor="text1"/>
                <w:sz w:val="22"/>
                <w:szCs w:val="22"/>
              </w:rPr>
              <w:t>III</w:t>
            </w:r>
          </w:p>
          <w:p w14:paraId="2486B5E4" w14:textId="202ECAD3" w:rsidR="008E5BFC" w:rsidRPr="00BC6436" w:rsidRDefault="008E5BFC" w:rsidP="00706EA7">
            <w:pPr>
              <w:ind w:left="360"/>
              <w:jc w:val="both"/>
              <w:rPr>
                <w:rFonts w:ascii="Times New Roman" w:hAnsi="Times New Roman"/>
                <w:color w:val="000000" w:themeColor="text1"/>
                <w:sz w:val="22"/>
                <w:szCs w:val="22"/>
              </w:rPr>
            </w:pPr>
            <w:proofErr w:type="gramStart"/>
            <w:r>
              <w:rPr>
                <w:rFonts w:ascii="Times New Roman" w:hAnsi="Times New Roman"/>
                <w:color w:val="000000" w:themeColor="text1"/>
                <w:sz w:val="22"/>
                <w:szCs w:val="22"/>
              </w:rPr>
              <w:t>Local :</w:t>
            </w:r>
            <w:proofErr w:type="gramEnd"/>
            <w:r>
              <w:rPr>
                <w:rFonts w:ascii="Times New Roman" w:hAnsi="Times New Roman"/>
                <w:color w:val="000000" w:themeColor="text1"/>
                <w:sz w:val="22"/>
                <w:szCs w:val="22"/>
              </w:rPr>
              <w:t xml:space="preserve"> - Painful</w:t>
            </w:r>
          </w:p>
          <w:p w14:paraId="5EFCB27C" w14:textId="17388501" w:rsidR="008E5BFC" w:rsidRPr="00BC6436" w:rsidRDefault="008E5BFC" w:rsidP="00706EA7">
            <w:pPr>
              <w:ind w:left="360"/>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             - Itchy</w:t>
            </w:r>
          </w:p>
          <w:p w14:paraId="1F5823E7" w14:textId="5A52909A" w:rsidR="008E5BFC" w:rsidRPr="00BC6436" w:rsidRDefault="008E5BFC" w:rsidP="008E5BFC">
            <w:pPr>
              <w:ind w:left="360"/>
              <w:jc w:val="center"/>
              <w:rPr>
                <w:rFonts w:ascii="Times New Roman" w:hAnsi="Times New Roman"/>
                <w:color w:val="000000" w:themeColor="text1"/>
                <w:sz w:val="22"/>
                <w:szCs w:val="22"/>
              </w:rPr>
            </w:pPr>
            <w:r>
              <w:rPr>
                <w:rFonts w:ascii="Times New Roman" w:hAnsi="Times New Roman"/>
                <w:color w:val="000000" w:themeColor="text1"/>
                <w:sz w:val="22"/>
                <w:szCs w:val="22"/>
              </w:rPr>
              <w:t>Systemic</w:t>
            </w:r>
            <w:r w:rsidRPr="00BC6436">
              <w:rPr>
                <w:rFonts w:ascii="Times New Roman" w:hAnsi="Times New Roman"/>
                <w:color w:val="000000" w:themeColor="text1"/>
                <w:sz w:val="22"/>
                <w:szCs w:val="22"/>
              </w:rPr>
              <w:t xml:space="preserve"> (</w:t>
            </w:r>
            <w:r>
              <w:rPr>
                <w:rFonts w:ascii="Times New Roman" w:hAnsi="Times New Roman"/>
                <w:color w:val="000000" w:themeColor="text1"/>
                <w:sz w:val="22"/>
                <w:szCs w:val="22"/>
              </w:rPr>
              <w:t>Muscle ache</w:t>
            </w:r>
            <w:r w:rsidRPr="00BC6436">
              <w:rPr>
                <w:rFonts w:ascii="Times New Roman" w:hAnsi="Times New Roman"/>
                <w:color w:val="000000" w:themeColor="text1"/>
                <w:sz w:val="22"/>
                <w:szCs w:val="22"/>
              </w:rPr>
              <w:t>)</w:t>
            </w:r>
          </w:p>
        </w:tc>
        <w:tc>
          <w:tcPr>
            <w:tcW w:w="1710" w:type="dxa"/>
            <w:tcBorders>
              <w:top w:val="single" w:sz="4" w:space="0" w:color="auto"/>
              <w:bottom w:val="single" w:sz="4" w:space="0" w:color="auto"/>
            </w:tcBorders>
          </w:tcPr>
          <w:p w14:paraId="13661B21"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p>
          <w:p w14:paraId="4F2B7C08"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p w14:paraId="52421DD7"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p w14:paraId="4D7FA044"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tc>
        <w:tc>
          <w:tcPr>
            <w:tcW w:w="1890" w:type="dxa"/>
            <w:tcBorders>
              <w:top w:val="single" w:sz="4" w:space="0" w:color="auto"/>
              <w:bottom w:val="single" w:sz="4" w:space="0" w:color="auto"/>
            </w:tcBorders>
          </w:tcPr>
          <w:p w14:paraId="34341E68"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p>
          <w:p w14:paraId="4E7F3D1E"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1 (33.3%)</w:t>
            </w:r>
          </w:p>
          <w:p w14:paraId="025890BA"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p w14:paraId="1AB4E778"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w:t>
            </w:r>
          </w:p>
        </w:tc>
        <w:tc>
          <w:tcPr>
            <w:tcW w:w="1980" w:type="dxa"/>
            <w:tcBorders>
              <w:top w:val="single" w:sz="4" w:space="0" w:color="auto"/>
              <w:bottom w:val="single" w:sz="4" w:space="0" w:color="auto"/>
            </w:tcBorders>
          </w:tcPr>
          <w:p w14:paraId="2920AD68"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p>
          <w:p w14:paraId="65A92BD9"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2(66.7%)</w:t>
            </w:r>
          </w:p>
          <w:p w14:paraId="2603FF19"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1 (100%)</w:t>
            </w:r>
          </w:p>
          <w:p w14:paraId="025E1EB4" w14:textId="77777777" w:rsidR="008E5BFC" w:rsidRPr="00BC6436" w:rsidRDefault="008E5BFC" w:rsidP="00706EA7">
            <w:pPr>
              <w:tabs>
                <w:tab w:val="right" w:pos="2585"/>
              </w:tabs>
              <w:contextualSpacing/>
              <w:jc w:val="center"/>
              <w:rPr>
                <w:rFonts w:ascii="Times New Roman" w:hAnsi="Times New Roman"/>
                <w:color w:val="000000" w:themeColor="text1"/>
                <w:sz w:val="22"/>
                <w:szCs w:val="22"/>
              </w:rPr>
            </w:pPr>
            <w:r w:rsidRPr="00BC6436">
              <w:rPr>
                <w:rFonts w:ascii="Times New Roman" w:hAnsi="Times New Roman"/>
                <w:color w:val="000000" w:themeColor="text1"/>
                <w:sz w:val="22"/>
                <w:szCs w:val="22"/>
              </w:rPr>
              <w:t>2 (100 %)</w:t>
            </w:r>
          </w:p>
        </w:tc>
      </w:tr>
    </w:tbl>
    <w:p w14:paraId="123B435C" w14:textId="77777777" w:rsidR="005D2718" w:rsidRDefault="005D2718" w:rsidP="00875E69">
      <w:pPr>
        <w:spacing w:line="360" w:lineRule="auto"/>
        <w:jc w:val="both"/>
        <w:rPr>
          <w:rFonts w:ascii="Times New Roman" w:hAnsi="Times New Roman" w:cs="Times New Roman"/>
          <w:b/>
          <w:sz w:val="24"/>
          <w:szCs w:val="24"/>
        </w:rPr>
      </w:pPr>
    </w:p>
    <w:p w14:paraId="5952EBAC" w14:textId="77777777" w:rsidR="00362068" w:rsidRDefault="00362068" w:rsidP="00875E69">
      <w:pPr>
        <w:spacing w:line="360" w:lineRule="auto"/>
        <w:jc w:val="both"/>
        <w:rPr>
          <w:rFonts w:ascii="Times New Roman" w:hAnsi="Times New Roman" w:cs="Times New Roman"/>
          <w:sz w:val="24"/>
          <w:szCs w:val="24"/>
        </w:rPr>
      </w:pPr>
      <w:r>
        <w:rPr>
          <w:rFonts w:ascii="Times New Roman" w:hAnsi="Times New Roman" w:cs="Times New Roman"/>
          <w:b/>
          <w:sz w:val="24"/>
          <w:szCs w:val="24"/>
        </w:rPr>
        <w:t>DISCUSSION</w:t>
      </w:r>
      <w:r w:rsidR="00AA4FBB">
        <w:rPr>
          <w:rFonts w:ascii="Times New Roman" w:hAnsi="Times New Roman" w:cs="Times New Roman"/>
          <w:sz w:val="24"/>
          <w:szCs w:val="24"/>
        </w:rPr>
        <w:t xml:space="preserve"> </w:t>
      </w:r>
    </w:p>
    <w:p w14:paraId="73EBCBAD" w14:textId="30453872" w:rsidR="00AA4FBB" w:rsidRDefault="00AA4FBB" w:rsidP="00875E6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E1936">
        <w:rPr>
          <w:rFonts w:ascii="Times New Roman" w:hAnsi="Times New Roman" w:cs="Times New Roman"/>
          <w:sz w:val="24"/>
          <w:szCs w:val="24"/>
        </w:rPr>
        <w:tab/>
      </w:r>
      <w:r w:rsidR="001A1360">
        <w:rPr>
          <w:rFonts w:ascii="Times New Roman" w:hAnsi="Times New Roman" w:cs="Times New Roman"/>
          <w:sz w:val="24"/>
          <w:szCs w:val="24"/>
        </w:rPr>
        <w:t>The f</w:t>
      </w:r>
      <w:r>
        <w:rPr>
          <w:rFonts w:ascii="Times New Roman" w:hAnsi="Times New Roman" w:cs="Times New Roman"/>
          <w:sz w:val="24"/>
          <w:szCs w:val="24"/>
        </w:rPr>
        <w:t xml:space="preserve">requency of sex in this study showed 21 (70.0%) subjects were female. Weight </w:t>
      </w:r>
      <w:r w:rsidR="001A1360">
        <w:rPr>
          <w:rFonts w:ascii="Times New Roman" w:hAnsi="Times New Roman" w:cs="Times New Roman"/>
          <w:sz w:val="24"/>
          <w:szCs w:val="24"/>
        </w:rPr>
        <w:t xml:space="preserve">of </w:t>
      </w:r>
      <w:r>
        <w:rPr>
          <w:rFonts w:ascii="Times New Roman" w:hAnsi="Times New Roman" w:cs="Times New Roman"/>
          <w:sz w:val="24"/>
          <w:szCs w:val="24"/>
        </w:rPr>
        <w:t xml:space="preserve">subjects </w:t>
      </w:r>
      <w:r w:rsidR="001A1360">
        <w:rPr>
          <w:rFonts w:ascii="Times New Roman" w:hAnsi="Times New Roman" w:cs="Times New Roman"/>
          <w:sz w:val="24"/>
          <w:szCs w:val="24"/>
        </w:rPr>
        <w:t>in this study</w:t>
      </w:r>
      <w:r>
        <w:rPr>
          <w:rFonts w:ascii="Times New Roman" w:hAnsi="Times New Roman" w:cs="Times New Roman"/>
          <w:sz w:val="24"/>
          <w:szCs w:val="24"/>
        </w:rPr>
        <w:t xml:space="preserve"> obtained with a BMI of 21.8 (17.9 to 33.8) with the highest BMI classification at the normal rate of 55.6%. A research Vellinga et al</w:t>
      </w:r>
      <w:r w:rsidR="00DD3F54">
        <w:rPr>
          <w:rFonts w:ascii="Times New Roman" w:hAnsi="Times New Roman" w:cs="Times New Roman"/>
          <w:sz w:val="24"/>
          <w:szCs w:val="24"/>
        </w:rPr>
        <w:fldChar w:fldCharType="begin" w:fldLock="1"/>
      </w:r>
      <w:r w:rsidR="00DD3F54">
        <w:rPr>
          <w:rFonts w:ascii="Times New Roman" w:hAnsi="Times New Roman" w:cs="Times New Roman"/>
          <w:sz w:val="24"/>
          <w:szCs w:val="24"/>
        </w:rPr>
        <w:instrText>ADDIN CSL_CITATION {"citationItems":[{"id":"ITEM-1","itemData":{"ISSN":"09598146","author":[{"dropping-particle":"","family":"Vellinga","given":"A.","non-dropping-particle":"","parse-names":false,"suffix":""},{"dropping-particle":"","family":"Damme","given":"P.","non-dropping-particle":"Van","parse-names":false,"suffix":""},{"dropping-particle":"","family":"Joossens","given":"E.","non-dropping-particle":"","parse-names":false,"suffix":""},{"dropping-particle":"","family":"Goossens","given":"H.","non-dropping-particle":"","parse-names":false,"suffix":""}],"container-title":"British Medical Journal","id":"ITEM-1","issued":{"date-parts":[["2000"]]},"title":"Response to diphtheria booster vaccination in healthy adults: Vaccine trial","type":"article-journal"},"uris":["http://www.mendeley.com/documents/?uuid=0ad833f0-f439-4ee7-8150-41840a05ad60"]}],"mendeley":{"formattedCitation":"&lt;sup&gt;12&lt;/sup&gt;","plainTextFormattedCitation":"12","previouslyFormattedCitation":"&lt;sup&gt;12&lt;/sup&gt;"},"properties":{"noteIndex":0},"schema":"https://github.com/citation-style-language/schema/raw/master/csl-citation.json"}</w:instrText>
      </w:r>
      <w:r w:rsidR="00DD3F54">
        <w:rPr>
          <w:rFonts w:ascii="Times New Roman" w:hAnsi="Times New Roman" w:cs="Times New Roman"/>
          <w:sz w:val="24"/>
          <w:szCs w:val="24"/>
        </w:rPr>
        <w:fldChar w:fldCharType="separate"/>
      </w:r>
      <w:r w:rsidR="00DD3F54" w:rsidRPr="00DD3F54">
        <w:rPr>
          <w:rFonts w:ascii="Times New Roman" w:hAnsi="Times New Roman" w:cs="Times New Roman"/>
          <w:noProof/>
          <w:sz w:val="24"/>
          <w:szCs w:val="24"/>
          <w:vertAlign w:val="superscript"/>
        </w:rPr>
        <w:t>12</w:t>
      </w:r>
      <w:r w:rsidR="00DD3F54">
        <w:rPr>
          <w:rFonts w:ascii="Times New Roman" w:hAnsi="Times New Roman" w:cs="Times New Roman"/>
          <w:sz w:val="24"/>
          <w:szCs w:val="24"/>
        </w:rPr>
        <w:fldChar w:fldCharType="end"/>
      </w:r>
      <w:r w:rsidR="00525F53">
        <w:rPr>
          <w:rFonts w:ascii="Times New Roman" w:hAnsi="Times New Roman" w:cs="Times New Roman"/>
          <w:sz w:val="24"/>
          <w:szCs w:val="24"/>
        </w:rPr>
        <w:t>in Eastern Europe showed that gender and weight do not affect the increase in antibody levels after immunization. Although other studies that Christenson B et al</w:t>
      </w:r>
      <w:r w:rsidR="00DD3F54">
        <w:rPr>
          <w:rFonts w:ascii="Times New Roman" w:hAnsi="Times New Roman" w:cs="Times New Roman"/>
          <w:sz w:val="24"/>
          <w:szCs w:val="24"/>
        </w:rPr>
        <w:fldChar w:fldCharType="begin" w:fldLock="1"/>
      </w:r>
      <w:r w:rsidR="00DD3F54">
        <w:rPr>
          <w:rFonts w:ascii="Times New Roman" w:hAnsi="Times New Roman" w:cs="Times New Roman"/>
          <w:sz w:val="24"/>
          <w:szCs w:val="24"/>
        </w:rPr>
        <w:instrText>ADDIN CSL_CITATION {"citationItems":[{"id":"ITEM-1","itemData":{"DOI":"10.1016/S0264-410X(00)00315-7","ISSN":"0264410X","abstract":"Objectives: To raise the level of immunity to diphtheria in the adult population of Stockholm by a vaccination campaign. The rationale behind the campaign, conducted during 1995-1996, was the re-emergence of epidemic diphtheria in the countries of the former Soviet Union and earlier surveys of immunity to diphtheria showing low levels of protection in adults. Design and main outcome measures: The impact of the vaccination campaign was measured by recording the age and sex of vaccinees, the type and number of vaccine doses given and any side-effects. The effect on immunity was evaluated in 1998-1999 by measuring the neutralising antibodies in blood samples from 1863 inhabitants, chosen by random stratified sampling. Vaccines and vaccinations: three doses of diphtheria (D) or diphtheria-tetanus (DT) vaccine were given to those without documented previous vaccination; others received a booster dose. The DT vaccine, with the D component purified before toxoiding, contained 15 Lf of D and 7.5 Lf of T per ml, and was given in 0.5 ml doses for the two priming doses and 0.25 ml as booster. Results: 184 969 doses of D or DT vaccine were given to 99 939 individuals. Of the vaccinees, 65% were 50 years of age or older and 60% were women. The highest rates of reported local reactions were 1.8-5.4% and of systemic reactions, such as fever, 0.2-0.8%. The campaign resulted in a significant increase in antitoxin concentrations in the age cohorts targeted, and especially in women, less well protected than men. Conclusions: A vaccination campaign, targeting the adult part of a population, can result in a major improvement in immunity to diphtheria with only a few and minor side-effects with a DT vaccine where the D component was purified prior to toxoiding. Extending national immunisation programmes to include adults would, however, seem preferable. © 2000 Elsevier Science Ltd.","author":[{"dropping-particle":"","family":"Christenson","given":"Brith","non-dropping-particle":"","parse-names":false,"suffix":""},{"dropping-particle":"","family":"Hellström","given":"Ulla","non-dropping-particle":"","parse-names":false,"suffix":""},{"dropping-particle":"","family":"Sylvan","given":"Staffan P.E.","non-dropping-particle":"","parse-names":false,"suffix":""},{"dropping-particle":"","family":"Henriksson","given":"Lisbeth","non-dropping-particle":"","parse-names":false,"suffix":""},{"dropping-particle":"","family":"Granström","given":"Marta","non-dropping-particle":"","parse-names":false,"suffix":""}],"container-title":"Vaccine","id":"ITEM-1","issued":{"date-parts":[["2000"]]},"title":"Impact of a vaccination campaign on adult immunity to diphtheria","type":"article-journal"},"uris":["http://www.mendeley.com/documents/?uuid=e202eaf5-c045-48d6-b686-b55135fe69ed"]}],"mendeley":{"formattedCitation":"&lt;sup&gt;13&lt;/sup&gt;","plainTextFormattedCitation":"13","previouslyFormattedCitation":"&lt;sup&gt;13&lt;/sup&gt;"},"properties":{"noteIndex":0},"schema":"https://github.com/citation-style-language/schema/raw/master/csl-citation.json"}</w:instrText>
      </w:r>
      <w:r w:rsidR="00DD3F54">
        <w:rPr>
          <w:rFonts w:ascii="Times New Roman" w:hAnsi="Times New Roman" w:cs="Times New Roman"/>
          <w:sz w:val="24"/>
          <w:szCs w:val="24"/>
        </w:rPr>
        <w:fldChar w:fldCharType="separate"/>
      </w:r>
      <w:r w:rsidR="00DD3F54" w:rsidRPr="00DD3F54">
        <w:rPr>
          <w:rFonts w:ascii="Times New Roman" w:hAnsi="Times New Roman" w:cs="Times New Roman"/>
          <w:noProof/>
          <w:sz w:val="24"/>
          <w:szCs w:val="24"/>
          <w:vertAlign w:val="superscript"/>
        </w:rPr>
        <w:t>13</w:t>
      </w:r>
      <w:r w:rsidR="00DD3F54">
        <w:rPr>
          <w:rFonts w:ascii="Times New Roman" w:hAnsi="Times New Roman" w:cs="Times New Roman"/>
          <w:sz w:val="24"/>
          <w:szCs w:val="24"/>
        </w:rPr>
        <w:fldChar w:fldCharType="end"/>
      </w:r>
      <w:r w:rsidR="003156C9">
        <w:rPr>
          <w:rFonts w:ascii="Times New Roman" w:hAnsi="Times New Roman" w:cs="Times New Roman"/>
          <w:sz w:val="24"/>
          <w:szCs w:val="24"/>
        </w:rPr>
        <w:t xml:space="preserve"> in Stockholm Sweden get the result that gender affects </w:t>
      </w:r>
      <w:r w:rsidR="003156C9">
        <w:rPr>
          <w:rFonts w:ascii="Times New Roman" w:hAnsi="Times New Roman" w:cs="Times New Roman"/>
          <w:sz w:val="24"/>
          <w:szCs w:val="24"/>
        </w:rPr>
        <w:lastRenderedPageBreak/>
        <w:t xml:space="preserve">higher among females increased levels of antibodies against diphtheria than in men, it still could be due to men in the country are more likely to get diphtheria. </w:t>
      </w:r>
    </w:p>
    <w:p w14:paraId="623FBE49" w14:textId="0DAEAB38" w:rsidR="00525F53" w:rsidRDefault="001A1360" w:rsidP="001A136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m</w:t>
      </w:r>
      <w:r w:rsidR="007967D7">
        <w:rPr>
          <w:rFonts w:ascii="Times New Roman" w:hAnsi="Times New Roman" w:cs="Times New Roman"/>
          <w:sz w:val="24"/>
          <w:szCs w:val="24"/>
        </w:rPr>
        <w:t xml:space="preserve">edian age of subjects began the study was 22 (20-24) where the research has the subject of </w:t>
      </w:r>
      <w:r>
        <w:rPr>
          <w:rFonts w:ascii="Times New Roman" w:hAnsi="Times New Roman" w:cs="Times New Roman"/>
          <w:sz w:val="24"/>
          <w:szCs w:val="24"/>
        </w:rPr>
        <w:t xml:space="preserve">the </w:t>
      </w:r>
      <w:r w:rsidR="007967D7">
        <w:rPr>
          <w:rFonts w:ascii="Times New Roman" w:hAnsi="Times New Roman" w:cs="Times New Roman"/>
          <w:sz w:val="24"/>
          <w:szCs w:val="24"/>
        </w:rPr>
        <w:t>young adult population is more homogeneous with an age range that is not much. It is expected that at this age</w:t>
      </w:r>
      <w:r>
        <w:rPr>
          <w:rFonts w:ascii="Times New Roman" w:hAnsi="Times New Roman" w:cs="Times New Roman"/>
          <w:sz w:val="24"/>
          <w:szCs w:val="24"/>
        </w:rPr>
        <w:t xml:space="preserve"> is</w:t>
      </w:r>
      <w:r w:rsidR="007967D7">
        <w:rPr>
          <w:rFonts w:ascii="Times New Roman" w:hAnsi="Times New Roman" w:cs="Times New Roman"/>
          <w:sz w:val="24"/>
          <w:szCs w:val="24"/>
        </w:rPr>
        <w:t xml:space="preserve"> still</w:t>
      </w:r>
      <w:r>
        <w:rPr>
          <w:rFonts w:ascii="Times New Roman" w:hAnsi="Times New Roman" w:cs="Times New Roman"/>
          <w:sz w:val="24"/>
          <w:szCs w:val="24"/>
        </w:rPr>
        <w:t xml:space="preserve"> have</w:t>
      </w:r>
      <w:r w:rsidR="007967D7">
        <w:rPr>
          <w:rFonts w:ascii="Times New Roman" w:hAnsi="Times New Roman" w:cs="Times New Roman"/>
          <w:sz w:val="24"/>
          <w:szCs w:val="24"/>
        </w:rPr>
        <w:t xml:space="preserve"> good immunity so that all subjects experienced increased levels of antibodies and is consistent with the results of the study which found elevated levels of anti</w:t>
      </w:r>
      <w:r>
        <w:rPr>
          <w:rFonts w:ascii="Times New Roman" w:hAnsi="Times New Roman" w:cs="Times New Roman"/>
          <w:sz w:val="24"/>
          <w:szCs w:val="24"/>
        </w:rPr>
        <w:t>body</w:t>
      </w:r>
      <w:r w:rsidR="007967D7">
        <w:rPr>
          <w:rFonts w:ascii="Times New Roman" w:hAnsi="Times New Roman" w:cs="Times New Roman"/>
          <w:sz w:val="24"/>
          <w:szCs w:val="24"/>
        </w:rPr>
        <w:t xml:space="preserve"> on the whole subject. These results are consistent with previous studies Vellinga A et al</w:t>
      </w:r>
      <w:r w:rsidR="00DD3F54">
        <w:rPr>
          <w:rFonts w:ascii="Times New Roman" w:hAnsi="Times New Roman" w:cs="Times New Roman"/>
          <w:sz w:val="24"/>
          <w:szCs w:val="24"/>
        </w:rPr>
        <w:fldChar w:fldCharType="begin" w:fldLock="1"/>
      </w:r>
      <w:r w:rsidR="00DD3F54">
        <w:rPr>
          <w:rFonts w:ascii="Times New Roman" w:hAnsi="Times New Roman" w:cs="Times New Roman"/>
          <w:sz w:val="24"/>
          <w:szCs w:val="24"/>
        </w:rPr>
        <w:instrText>ADDIN CSL_CITATION {"citationItems":[{"id":"ITEM-1","itemData":{"ISSN":"09598146","author":[{"dropping-particle":"","family":"Vellinga","given":"A.","non-dropping-particle":"","parse-names":false,"suffix":""},{"dropping-particle":"","family":"Damme","given":"P.","non-dropping-particle":"Van","parse-names":false,"suffix":""},{"dropping-particle":"","family":"Joossens","given":"E.","non-dropping-particle":"","parse-names":false,"suffix":""},{"dropping-particle":"","family":"Goossens","given":"H.","non-dropping-particle":"","parse-names":false,"suffix":""}],"container-title":"British Medical Journal","id":"ITEM-1","issued":{"date-parts":[["2000"]]},"title":"Response to diphtheria booster vaccination in healthy adults: Vaccine trial","type":"article-journal"},"uris":["http://www.mendeley.com/documents/?uuid=0ad833f0-f439-4ee7-8150-41840a05ad60"]}],"mendeley":{"formattedCitation":"&lt;sup&gt;12&lt;/sup&gt;","plainTextFormattedCitation":"12","previouslyFormattedCitation":"&lt;sup&gt;12&lt;/sup&gt;"},"properties":{"noteIndex":0},"schema":"https://github.com/citation-style-language/schema/raw/master/csl-citation.json"}</w:instrText>
      </w:r>
      <w:r w:rsidR="00DD3F54">
        <w:rPr>
          <w:rFonts w:ascii="Times New Roman" w:hAnsi="Times New Roman" w:cs="Times New Roman"/>
          <w:sz w:val="24"/>
          <w:szCs w:val="24"/>
        </w:rPr>
        <w:fldChar w:fldCharType="separate"/>
      </w:r>
      <w:r w:rsidR="00DD3F54" w:rsidRPr="00DD3F54">
        <w:rPr>
          <w:rFonts w:ascii="Times New Roman" w:hAnsi="Times New Roman" w:cs="Times New Roman"/>
          <w:noProof/>
          <w:sz w:val="24"/>
          <w:szCs w:val="24"/>
          <w:vertAlign w:val="superscript"/>
        </w:rPr>
        <w:t>12</w:t>
      </w:r>
      <w:r w:rsidR="00DD3F54">
        <w:rPr>
          <w:rFonts w:ascii="Times New Roman" w:hAnsi="Times New Roman" w:cs="Times New Roman"/>
          <w:sz w:val="24"/>
          <w:szCs w:val="24"/>
        </w:rPr>
        <w:fldChar w:fldCharType="end"/>
      </w:r>
      <w:r w:rsidR="00525F53">
        <w:rPr>
          <w:rFonts w:ascii="Times New Roman" w:hAnsi="Times New Roman" w:cs="Times New Roman"/>
          <w:sz w:val="24"/>
          <w:szCs w:val="24"/>
        </w:rPr>
        <w:t xml:space="preserve"> in Eastern Europe gained the age influence on the increase in antibody levels after vaccination which found 42 subjects who remain at levels lower antibody levels after immunization due to the older age is above 40 years. </w:t>
      </w:r>
    </w:p>
    <w:p w14:paraId="5E3C6527" w14:textId="2B212C45" w:rsidR="007967D7" w:rsidRPr="00525F53" w:rsidRDefault="00525F53" w:rsidP="001A136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results showed a population of young adults who still have anti-diphtheria levels above the protective value (</w:t>
      </w:r>
      <w:r w:rsidR="007967D7" w:rsidRPr="007967D7">
        <w:rPr>
          <w:rFonts w:ascii="Times New Roman" w:hAnsi="Times New Roman" w:cs="Times New Roman"/>
          <w:color w:val="000000" w:themeColor="text1"/>
          <w:sz w:val="24"/>
          <w:szCs w:val="24"/>
        </w:rPr>
        <w:t xml:space="preserve">≥0,01 IU / mL) pre-immunization of 20% while those with long-term protection (≥0,1 IU / mL) </w:t>
      </w:r>
      <w:r w:rsidR="001A1360" w:rsidRPr="007967D7">
        <w:rPr>
          <w:rFonts w:ascii="Times New Roman" w:hAnsi="Times New Roman" w:cs="Times New Roman"/>
          <w:color w:val="000000" w:themeColor="text1"/>
          <w:sz w:val="24"/>
          <w:szCs w:val="24"/>
        </w:rPr>
        <w:t>pre-immunization</w:t>
      </w:r>
      <w:r w:rsidR="007967D7" w:rsidRPr="007967D7">
        <w:rPr>
          <w:rFonts w:ascii="Times New Roman" w:hAnsi="Times New Roman" w:cs="Times New Roman"/>
          <w:color w:val="000000" w:themeColor="text1"/>
          <w:sz w:val="24"/>
          <w:szCs w:val="24"/>
        </w:rPr>
        <w:t xml:space="preserve"> is 76.7% and for which has no protection at all is only 3.3%. The high number is probably possible outcomes from BIAS program that is routinely done in elementary school.</w:t>
      </w:r>
      <w:r w:rsidR="00DD3F54">
        <w:rPr>
          <w:rFonts w:ascii="Times New Roman" w:hAnsi="Times New Roman" w:cs="Times New Roman"/>
          <w:color w:val="000000" w:themeColor="text1"/>
          <w:sz w:val="24"/>
          <w:szCs w:val="24"/>
        </w:rPr>
        <w:fldChar w:fldCharType="begin" w:fldLock="1"/>
      </w:r>
      <w:r w:rsidR="00DD3F54">
        <w:rPr>
          <w:rFonts w:ascii="Times New Roman" w:hAnsi="Times New Roman" w:cs="Times New Roman"/>
          <w:color w:val="000000" w:themeColor="text1"/>
          <w:sz w:val="24"/>
          <w:szCs w:val="24"/>
        </w:rPr>
        <w:instrText>ADDIN CSL_CITATION {"citationItems":[{"id":"ITEM-1","itemData":{"author":[{"dropping-particle":"","family":"Indonesia","given":"","non-dropping-particle":"","parse-names":false,"suffix":""},{"dropping-particle":"","family":"Departemen Kesehatan R.I","given":"","non-dropping-particle":"","parse-names":false,"suffix":""}],"id":"ITEM-1","issued":{"date-parts":[["1998"]]},"title":"Petunjuk Teknis Bulan Imunisasi Anak Sekolah 'BIAS' : Bagi Pengelola Program","type":"book"},"uris":["http://www.mendeley.com/documents/?uuid=8e27ad78-59aa-4be2-af04-93b020ba3ad0"]}],"mendeley":{"formattedCitation":"&lt;sup&gt;14&lt;/sup&gt;","plainTextFormattedCitation":"14","previouslyFormattedCitation":"&lt;sup&gt;14&lt;/sup&gt;"},"properties":{"noteIndex":0},"schema":"https://github.com/citation-style-language/schema/raw/master/csl-citation.json"}</w:instrText>
      </w:r>
      <w:r w:rsidR="00DD3F54">
        <w:rPr>
          <w:rFonts w:ascii="Times New Roman" w:hAnsi="Times New Roman" w:cs="Times New Roman"/>
          <w:color w:val="000000" w:themeColor="text1"/>
          <w:sz w:val="24"/>
          <w:szCs w:val="24"/>
        </w:rPr>
        <w:fldChar w:fldCharType="separate"/>
      </w:r>
      <w:r w:rsidR="00DD3F54" w:rsidRPr="00DD3F54">
        <w:rPr>
          <w:rFonts w:ascii="Times New Roman" w:hAnsi="Times New Roman" w:cs="Times New Roman"/>
          <w:noProof/>
          <w:color w:val="000000" w:themeColor="text1"/>
          <w:sz w:val="24"/>
          <w:szCs w:val="24"/>
          <w:vertAlign w:val="superscript"/>
        </w:rPr>
        <w:t>14</w:t>
      </w:r>
      <w:r w:rsidR="00DD3F54">
        <w:rPr>
          <w:rFonts w:ascii="Times New Roman" w:hAnsi="Times New Roman" w:cs="Times New Roman"/>
          <w:color w:val="000000" w:themeColor="text1"/>
          <w:sz w:val="24"/>
          <w:szCs w:val="24"/>
        </w:rPr>
        <w:fldChar w:fldCharType="end"/>
      </w:r>
      <w:r w:rsidR="008419AE">
        <w:rPr>
          <w:rFonts w:ascii="Times New Roman" w:hAnsi="Times New Roman" w:cs="Times New Roman"/>
          <w:color w:val="000000" w:themeColor="text1"/>
          <w:sz w:val="24"/>
          <w:szCs w:val="24"/>
        </w:rPr>
        <w:t xml:space="preserve"> These results are in accordance with the research conducted Isbagio et al</w:t>
      </w:r>
      <w:r w:rsidR="00DD3F54">
        <w:rPr>
          <w:rFonts w:ascii="Times New Roman" w:hAnsi="Times New Roman" w:cs="Times New Roman"/>
          <w:color w:val="000000" w:themeColor="text1"/>
          <w:sz w:val="24"/>
          <w:szCs w:val="24"/>
        </w:rPr>
        <w:fldChar w:fldCharType="begin" w:fldLock="1"/>
      </w:r>
      <w:r w:rsidR="00DD3F54">
        <w:rPr>
          <w:rFonts w:ascii="Times New Roman" w:hAnsi="Times New Roman" w:cs="Times New Roman"/>
          <w:color w:val="000000" w:themeColor="text1"/>
          <w:sz w:val="24"/>
          <w:szCs w:val="24"/>
        </w:rPr>
        <w:instrText>ADDIN CSL_CITATION {"citationItems":[{"id":"ITEM-1","itemData":{"author":[{"dropping-particle":"","family":"Isbagio","given":"dkk","non-dropping-particle":"","parse-names":false,"suffix":""}],"container-title":"Buletin Penelitian Kesehatan","id":"ITEM-1","issue":"2","issued":{"date-parts":[["2004"]]},"page":"62-72","title":"Pengaruh Status Imunisasi Difteri Pertusis Dan Tetanus Terhadap Respon Kekebalan Difteri Dan Tetanus Pada Murid Kelas 1 Sekolah Dasar Di Kecamatan Cimandala","type":"article-journal","volume":"32"},"uris":["http://www.mendeley.com/documents/?uuid=127f85d0-8975-4463-b15c-11c83494aa21"]}],"mendeley":{"formattedCitation":"&lt;sup&gt;15&lt;/sup&gt;","plainTextFormattedCitation":"15","previouslyFormattedCitation":"&lt;sup&gt;15&lt;/sup&gt;"},"properties":{"noteIndex":0},"schema":"https://github.com/citation-style-language/schema/raw/master/csl-citation.json"}</w:instrText>
      </w:r>
      <w:r w:rsidR="00DD3F54">
        <w:rPr>
          <w:rFonts w:ascii="Times New Roman" w:hAnsi="Times New Roman" w:cs="Times New Roman"/>
          <w:color w:val="000000" w:themeColor="text1"/>
          <w:sz w:val="24"/>
          <w:szCs w:val="24"/>
        </w:rPr>
        <w:fldChar w:fldCharType="separate"/>
      </w:r>
      <w:r w:rsidR="00DD3F54" w:rsidRPr="00DD3F54">
        <w:rPr>
          <w:rFonts w:ascii="Times New Roman" w:hAnsi="Times New Roman" w:cs="Times New Roman"/>
          <w:noProof/>
          <w:color w:val="000000" w:themeColor="text1"/>
          <w:sz w:val="24"/>
          <w:szCs w:val="24"/>
          <w:vertAlign w:val="superscript"/>
        </w:rPr>
        <w:t>15</w:t>
      </w:r>
      <w:r w:rsidR="00DD3F54">
        <w:rPr>
          <w:rFonts w:ascii="Times New Roman" w:hAnsi="Times New Roman" w:cs="Times New Roman"/>
          <w:color w:val="000000" w:themeColor="text1"/>
          <w:sz w:val="24"/>
          <w:szCs w:val="24"/>
        </w:rPr>
        <w:fldChar w:fldCharType="end"/>
      </w:r>
      <w:r w:rsidR="003E57F6">
        <w:rPr>
          <w:rFonts w:ascii="Times New Roman" w:hAnsi="Times New Roman" w:cs="Times New Roman"/>
          <w:color w:val="000000" w:themeColor="text1"/>
          <w:sz w:val="24"/>
          <w:szCs w:val="24"/>
        </w:rPr>
        <w:t>antibodies against diphtheria and tetanus immunization one year after obtaining the DT at 58 children aged 5-6 years who have a history of primary immunization of DPT 3 times, 96.5% still had antibody levels above the value of protection against diphtheria. In addition due to research on the subject, there are 28 people who have a history of immunization against time to get the last immunization within a period of one to two years before the study is done so</w:t>
      </w:r>
      <w:r w:rsidR="001A1360">
        <w:rPr>
          <w:rFonts w:ascii="Times New Roman" w:hAnsi="Times New Roman" w:cs="Times New Roman"/>
          <w:color w:val="000000" w:themeColor="text1"/>
          <w:sz w:val="24"/>
          <w:szCs w:val="24"/>
        </w:rPr>
        <w:t>, of course,</w:t>
      </w:r>
      <w:r w:rsidR="003E57F6">
        <w:rPr>
          <w:rFonts w:ascii="Times New Roman" w:hAnsi="Times New Roman" w:cs="Times New Roman"/>
          <w:color w:val="000000" w:themeColor="text1"/>
          <w:sz w:val="24"/>
          <w:szCs w:val="24"/>
        </w:rPr>
        <w:t xml:space="preserve"> it makes the levels of antibodies in the body of the subject they tend either. The study antibody levels in the adult population conducted in Singapore by Ang LW et al</w:t>
      </w:r>
      <w:r w:rsidR="00DD3F54">
        <w:rPr>
          <w:rFonts w:ascii="Times New Roman" w:hAnsi="Times New Roman" w:cs="Times New Roman"/>
          <w:color w:val="000000" w:themeColor="text1"/>
          <w:sz w:val="24"/>
          <w:szCs w:val="24"/>
        </w:rPr>
        <w:fldChar w:fldCharType="begin" w:fldLock="1"/>
      </w:r>
      <w:r w:rsidR="00DD3F54">
        <w:rPr>
          <w:rFonts w:ascii="Times New Roman" w:hAnsi="Times New Roman" w:cs="Times New Roman"/>
          <w:color w:val="000000" w:themeColor="text1"/>
          <w:sz w:val="24"/>
          <w:szCs w:val="24"/>
        </w:rPr>
        <w:instrText>ADDIN CSL_CITATION {"citationItems":[{"id":"ITEM-1","itemData":{"DOI":"10.1093/pubmed/fdv011","ISSN":"17413850","abstract":"BACKGROUND: In view of waning antitoxin titres over time after the last vaccine dose against diphtheria and tetanus, we determined the immunity levels in adults to identify most susceptible groups for protection in Singapore. METHODS: Our study involved residual sera from 3293 adults aged 18-79 who had participated in a national health survey in 2010. IgG antibody levels were determined using commercial enzyme-linked immunosorbent assay. RESULTS: Overall, 92.0% (95% confidence interval [CI]: 91.1-92.9%) had at least basic protection against diphtheria (antibody levels &gt;/=0.01 IU/ml), while 71.4% (95% CI: 69.8-72.9%) had at least short-term protection against tetanus (antibody levels &gt;0.1 IU/ml). The seroprevalence declined significantly with age for both diseases; the drop was most marked in the 50- to 59-year age group for diphtheria and 60- to 69-year age group for tetanus. There was a significant difference in seroprevalence by residency for diphtheria (92.8% among Singapore citizens versus 87.1% among permanent residents; P = 0.001). The seroprevalence for tetanus was significantly higher among males (83.2%) than females (62.4%) (P &lt; 0.0005). CONCLUSIONS: It may be of value to consider additional vaccination efforts to protect older adults at higher risk for exposure against diphtheria and tetanus, particularly those travelling to areas where diphtheria is endemic or epidemic.","author":[{"dropping-particle":"","family":"Ang","given":"L. W.","non-dropping-particle":"","parse-names":false,"suffix":""},{"dropping-particle":"","family":"James","given":"L.","non-dropping-particle":"","parse-names":false,"suffix":""},{"dropping-particle":"","family":"Goh","given":"K. T.","non-dropping-particle":"","parse-names":false,"suffix":""}],"container-title":"Journal of Public Health (United Kingdom)","id":"ITEM-1","issued":{"date-parts":[["2016"]]},"title":"Prevalence of diphtheria and tetanus antibodies among adults in Singapore: A national serological study to identify most susceptible population groups","type":"article-journal"},"uris":["http://www.mendeley.com/documents/?uuid=9f525eb8-4a9a-4d93-855a-b7fc2f7f290f"]}],"mendeley":{"formattedCitation":"&lt;sup&gt;16&lt;/sup&gt;","plainTextFormattedCitation":"16","previouslyFormattedCitation":"&lt;sup&gt;16&lt;/sup&gt;"},"properties":{"noteIndex":0},"schema":"https://github.com/citation-style-language/schema/raw/master/csl-citation.json"}</w:instrText>
      </w:r>
      <w:r w:rsidR="00DD3F54">
        <w:rPr>
          <w:rFonts w:ascii="Times New Roman" w:hAnsi="Times New Roman" w:cs="Times New Roman"/>
          <w:color w:val="000000" w:themeColor="text1"/>
          <w:sz w:val="24"/>
          <w:szCs w:val="24"/>
        </w:rPr>
        <w:fldChar w:fldCharType="separate"/>
      </w:r>
      <w:r w:rsidR="00DD3F54" w:rsidRPr="00DD3F54">
        <w:rPr>
          <w:rFonts w:ascii="Times New Roman" w:hAnsi="Times New Roman" w:cs="Times New Roman"/>
          <w:noProof/>
          <w:color w:val="000000" w:themeColor="text1"/>
          <w:sz w:val="24"/>
          <w:szCs w:val="24"/>
          <w:vertAlign w:val="superscript"/>
        </w:rPr>
        <w:t>16</w:t>
      </w:r>
      <w:r w:rsidR="00DD3F54">
        <w:rPr>
          <w:rFonts w:ascii="Times New Roman" w:hAnsi="Times New Roman" w:cs="Times New Roman"/>
          <w:color w:val="000000" w:themeColor="text1"/>
          <w:sz w:val="24"/>
          <w:szCs w:val="24"/>
        </w:rPr>
        <w:fldChar w:fldCharType="end"/>
      </w:r>
      <w:r w:rsidR="00F47FB8" w:rsidRPr="00C86576">
        <w:rPr>
          <w:rFonts w:ascii="Times New Roman" w:hAnsi="Times New Roman" w:cs="Times New Roman"/>
          <w:color w:val="000000" w:themeColor="text1"/>
          <w:sz w:val="24"/>
          <w:szCs w:val="24"/>
        </w:rPr>
        <w:t xml:space="preserve"> obtained 92% of the adult population in Singapore, aged 18-79 years old have at least basic protection (diphtheria antibody titer levels </w:t>
      </w:r>
      <w:r w:rsidR="00C86576" w:rsidRPr="00C86576">
        <w:rPr>
          <w:rFonts w:ascii="Times New Roman" w:eastAsia="MS Gothic" w:hAnsi="Times New Roman" w:cs="Times New Roman"/>
          <w:color w:val="000000"/>
          <w:sz w:val="24"/>
          <w:szCs w:val="24"/>
        </w:rPr>
        <w:t>≥</w:t>
      </w:r>
      <w:r w:rsidR="00F47FB8" w:rsidRPr="00C86576">
        <w:rPr>
          <w:rFonts w:ascii="Times New Roman" w:hAnsi="Times New Roman" w:cs="Times New Roman"/>
          <w:sz w:val="24"/>
          <w:szCs w:val="24"/>
        </w:rPr>
        <w:t>0:01 IU / ml) and contained 59.5% with full protection ie antibody levels</w:t>
      </w:r>
      <w:r w:rsidR="00C86576" w:rsidRPr="00C86576">
        <w:rPr>
          <w:rFonts w:ascii="Times New Roman" w:eastAsia="MS Gothic" w:hAnsi="Times New Roman" w:cs="Times New Roman"/>
          <w:color w:val="000000"/>
          <w:sz w:val="24"/>
          <w:szCs w:val="24"/>
        </w:rPr>
        <w:t>≥ 0.1 IU / mL and obtained seroprevalence against diphtheria decline with age. There is one subject in this study with the antibody levels were seronegative prior to immunization, these things are caused because these subjects had no history of previous immunization in adulthood and at the time of the child's age is said not to know. This is consistent with the theory that the levels of antibodies against the vaccine will decrease and disappear after a few years so it requires repeated immunization in adults.</w:t>
      </w:r>
    </w:p>
    <w:p w14:paraId="619A09A4" w14:textId="32EEF468" w:rsidR="0006056E" w:rsidRDefault="0006056E" w:rsidP="001A1360">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 study also showed that Td increases the degree of protection against diphtheria (100%). Increased immunity to diphtheria GMT reflected in an increase of 0.323 IU / mL to 1,029 IU / mL. Long-term protection against diphtheria increased from 76.7% to 100%. all subjects increased levels of antibodies both women and men. This study is consistent with research Christenson B et al</w:t>
      </w:r>
      <w:r w:rsidR="00DD3F54">
        <w:rPr>
          <w:rFonts w:ascii="Times New Roman" w:hAnsi="Times New Roman" w:cs="Times New Roman"/>
          <w:color w:val="000000" w:themeColor="text1"/>
          <w:sz w:val="24"/>
          <w:szCs w:val="24"/>
        </w:rPr>
        <w:fldChar w:fldCharType="begin" w:fldLock="1"/>
      </w:r>
      <w:r w:rsidR="00DD3F54">
        <w:rPr>
          <w:rFonts w:ascii="Times New Roman" w:hAnsi="Times New Roman" w:cs="Times New Roman"/>
          <w:color w:val="000000" w:themeColor="text1"/>
          <w:sz w:val="24"/>
          <w:szCs w:val="24"/>
        </w:rPr>
        <w:instrText>ADDIN CSL_CITATION {"citationItems":[{"id":"ITEM-1","itemData":{"DOI":"10.1016/S0264-410X(00)00315-7","ISSN":"0264410X","abstract":"Objectives: To raise the level of immunity to diphtheria in the adult population of Stockholm by a vaccination campaign. The rationale behind the campaign, conducted during 1995-1996, was the re-emergence of epidemic diphtheria in the countries of the former Soviet Union and earlier surveys of immunity to diphtheria showing low levels of protection in adults. Design and main outcome measures: The impact of the vaccination campaign was measured by recording the age and sex of vaccinees, the type and number of vaccine doses given and any side-effects. The effect on immunity was evaluated in 1998-1999 by measuring the neutralising antibodies in blood samples from 1863 inhabitants, chosen by random stratified sampling. Vaccines and vaccinations: three doses of diphtheria (D) or diphtheria-tetanus (DT) vaccine were given to those without documented previous vaccination; others received a booster dose. The DT vaccine, with the D component purified before toxoiding, contained 15 Lf of D and 7.5 Lf of T per ml, and was given in 0.5 ml doses for the two priming doses and 0.25 ml as booster. Results: 184 969 doses of D or DT vaccine were given to 99 939 individuals. Of the vaccinees, 65% were 50 years of age or older and 60% were women. The highest rates of reported local reactions were 1.8-5.4% and of systemic reactions, such as fever, 0.2-0.8%. The campaign resulted in a significant increase in antitoxin concentrations in the age cohorts targeted, and especially in women, less well protected than men. Conclusions: A vaccination campaign, targeting the adult part of a population, can result in a major improvement in immunity to diphtheria with only a few and minor side-effects with a DT vaccine where the D component was purified prior to toxoiding. Extending national immunisation programmes to include adults would, however, seem preferable. © 2000 Elsevier Science Ltd.","author":[{"dropping-particle":"","family":"Christenson","given":"Brith","non-dropping-particle":"","parse-names":false,"suffix":""},{"dropping-particle":"","family":"Hellström","given":"Ulla","non-dropping-particle":"","parse-names":false,"suffix":""},{"dropping-particle":"","family":"Sylvan","given":"Staffan P.E.","non-dropping-particle":"","parse-names":false,"suffix":""},{"dropping-particle":"","family":"Henriksson","given":"Lisbeth","non-dropping-particle":"","parse-names":false,"suffix":""},{"dropping-particle":"","family":"Granström","given":"Marta","non-dropping-particle":"","parse-names":false,"suffix":""}],"container-title":"Vaccine","id":"ITEM-1","issued":{"date-parts":[["2000"]]},"title":"Impact of a vaccination campaign on adult immunity to diphtheria","type":"article-journal"},"uris":["http://www.mendeley.com/documents/?uuid=e202eaf5-c045-48d6-b686-b55135fe69ed"]}],"mendeley":{"formattedCitation":"&lt;sup&gt;13&lt;/sup&gt;","plainTextFormattedCitation":"13","previouslyFormattedCitation":"&lt;sup&gt;13&lt;/sup&gt;"},"properties":{"noteIndex":0},"schema":"https://github.com/citation-style-language/schema/raw/master/csl-citation.json"}</w:instrText>
      </w:r>
      <w:r w:rsidR="00DD3F54">
        <w:rPr>
          <w:rFonts w:ascii="Times New Roman" w:hAnsi="Times New Roman" w:cs="Times New Roman"/>
          <w:color w:val="000000" w:themeColor="text1"/>
          <w:sz w:val="24"/>
          <w:szCs w:val="24"/>
        </w:rPr>
        <w:fldChar w:fldCharType="separate"/>
      </w:r>
      <w:r w:rsidR="00DD3F54" w:rsidRPr="00DD3F54">
        <w:rPr>
          <w:rFonts w:ascii="Times New Roman" w:hAnsi="Times New Roman" w:cs="Times New Roman"/>
          <w:noProof/>
          <w:color w:val="000000" w:themeColor="text1"/>
          <w:sz w:val="24"/>
          <w:szCs w:val="24"/>
          <w:vertAlign w:val="superscript"/>
        </w:rPr>
        <w:t>13</w:t>
      </w:r>
      <w:r w:rsidR="00DD3F54">
        <w:rPr>
          <w:rFonts w:ascii="Times New Roman" w:hAnsi="Times New Roman" w:cs="Times New Roman"/>
          <w:color w:val="000000" w:themeColor="text1"/>
          <w:sz w:val="24"/>
          <w:szCs w:val="24"/>
        </w:rPr>
        <w:fldChar w:fldCharType="end"/>
      </w:r>
      <w:r w:rsidR="00405FBB">
        <w:rPr>
          <w:rFonts w:ascii="Times New Roman" w:hAnsi="Times New Roman" w:cs="Times New Roman"/>
          <w:color w:val="000000" w:themeColor="text1"/>
          <w:sz w:val="24"/>
          <w:szCs w:val="24"/>
        </w:rPr>
        <w:t xml:space="preserve"> in Stockholm Sweden where the adult population who do immunizations have elevated levels of antibodies and obtained 70% who have a degree of protection against </w:t>
      </w:r>
      <w:proofErr w:type="spellStart"/>
      <w:r w:rsidR="001A1360">
        <w:rPr>
          <w:rFonts w:ascii="Times New Roman" w:hAnsi="Times New Roman" w:cs="Times New Roman"/>
          <w:color w:val="000000" w:themeColor="text1"/>
          <w:sz w:val="24"/>
          <w:szCs w:val="24"/>
        </w:rPr>
        <w:t>diptheria</w:t>
      </w:r>
      <w:proofErr w:type="spellEnd"/>
      <w:r w:rsidR="001A1360">
        <w:rPr>
          <w:rFonts w:ascii="Times New Roman" w:hAnsi="Times New Roman" w:cs="Times New Roman"/>
          <w:color w:val="000000" w:themeColor="text1"/>
          <w:sz w:val="24"/>
          <w:szCs w:val="24"/>
        </w:rPr>
        <w:t xml:space="preserve"> </w:t>
      </w:r>
      <w:r w:rsidR="00405FBB">
        <w:rPr>
          <w:rFonts w:ascii="Times New Roman" w:hAnsi="Times New Roman" w:cs="Times New Roman"/>
          <w:color w:val="000000" w:themeColor="text1"/>
          <w:sz w:val="24"/>
          <w:szCs w:val="24"/>
        </w:rPr>
        <w:t>toxin.</w:t>
      </w:r>
      <w:r w:rsidR="001A1360">
        <w:rPr>
          <w:rFonts w:ascii="Times New Roman" w:hAnsi="Times New Roman" w:cs="Times New Roman"/>
          <w:color w:val="000000" w:themeColor="text1"/>
          <w:sz w:val="24"/>
          <w:szCs w:val="24"/>
        </w:rPr>
        <w:t xml:space="preserve"> </w:t>
      </w:r>
      <w:r w:rsidR="00405FBB">
        <w:rPr>
          <w:rFonts w:ascii="Times New Roman" w:hAnsi="Times New Roman" w:cs="Times New Roman"/>
          <w:color w:val="000000" w:themeColor="text1"/>
          <w:sz w:val="24"/>
          <w:szCs w:val="24"/>
        </w:rPr>
        <w:t>Mortimer J et al</w:t>
      </w:r>
      <w:r w:rsidR="00DD3F54">
        <w:rPr>
          <w:rFonts w:ascii="Times New Roman" w:hAnsi="Times New Roman" w:cs="Times New Roman"/>
          <w:color w:val="000000" w:themeColor="text1"/>
          <w:sz w:val="24"/>
          <w:szCs w:val="24"/>
        </w:rPr>
        <w:fldChar w:fldCharType="begin" w:fldLock="1"/>
      </w:r>
      <w:r w:rsidR="00DD3F54">
        <w:rPr>
          <w:rFonts w:ascii="Times New Roman" w:hAnsi="Times New Roman" w:cs="Times New Roman"/>
          <w:color w:val="000000" w:themeColor="text1"/>
          <w:sz w:val="24"/>
          <w:szCs w:val="24"/>
        </w:rPr>
        <w:instrText>ADDIN CSL_CITATION {"citationItems":[{"id":"ITEM-1","itemData":{"DOI":"10.1016/S0140-6736(86)92194-X","ISSN":"01406736","abstract":"A low dose (1·5 Lf) diphtheria vaccine for use in adults was given to 310 university student volunteers whose diphtheria antitoxin titres were less than 0·1 IU per ml. The incidence of adverse reactions was low. Postimmunisation blood samples taken from 134 of the students showed that in susceptible vaccinees the vaccine induced titres of antitoxin were consistent with protection and that it boosted the titres of those whose immunity was low. © 1986.","author":[{"dropping-particle":"","family":"Mortimer","given":"Janet","non-dropping-particle":"","parse-names":false,"suffix":""},{"dropping-particle":"","family":"Melville-Smith","given":"Moira","non-dropping-particle":"","parse-names":false,"suffix":""},{"dropping-particle":"","family":"Sheffield","given":"Frank","non-dropping-particle":"","parse-names":false,"suffix":""}],"container-title":"The Lancet","id":"ITEM-1","issued":{"date-parts":[["1986"]]},"title":"DIPHTHERIA VACCINE FOR ADULTS","type":"article-journal"},"uris":["http://www.mendeley.com/documents/?uuid=52c02a47-1278-4fe3-9a97-7197ba7019a5"]}],"mendeley":{"formattedCitation":"&lt;sup&gt;17&lt;/sup&gt;","plainTextFormattedCitation":"17","previouslyFormattedCitation":"&lt;sup&gt;17&lt;/sup&gt;"},"properties":{"noteIndex":0},"schema":"https://github.com/citation-style-language/schema/raw/master/csl-citation.json"}</w:instrText>
      </w:r>
      <w:r w:rsidR="00DD3F54">
        <w:rPr>
          <w:rFonts w:ascii="Times New Roman" w:hAnsi="Times New Roman" w:cs="Times New Roman"/>
          <w:color w:val="000000" w:themeColor="text1"/>
          <w:sz w:val="24"/>
          <w:szCs w:val="24"/>
        </w:rPr>
        <w:fldChar w:fldCharType="separate"/>
      </w:r>
      <w:r w:rsidR="00DD3F54" w:rsidRPr="00DD3F54">
        <w:rPr>
          <w:rFonts w:ascii="Times New Roman" w:hAnsi="Times New Roman" w:cs="Times New Roman"/>
          <w:noProof/>
          <w:color w:val="000000" w:themeColor="text1"/>
          <w:sz w:val="24"/>
          <w:szCs w:val="24"/>
          <w:vertAlign w:val="superscript"/>
        </w:rPr>
        <w:t>17</w:t>
      </w:r>
      <w:r w:rsidR="00DD3F54">
        <w:rPr>
          <w:rFonts w:ascii="Times New Roman" w:hAnsi="Times New Roman" w:cs="Times New Roman"/>
          <w:color w:val="000000" w:themeColor="text1"/>
          <w:sz w:val="24"/>
          <w:szCs w:val="24"/>
        </w:rPr>
        <w:fldChar w:fldCharType="end"/>
      </w:r>
      <w:r w:rsidR="002D4FF1">
        <w:rPr>
          <w:rFonts w:ascii="Times New Roman" w:hAnsi="Times New Roman" w:cs="Times New Roman"/>
          <w:color w:val="000000" w:themeColor="text1"/>
          <w:sz w:val="24"/>
          <w:szCs w:val="24"/>
        </w:rPr>
        <w:t xml:space="preserve"> London also get the same thing from their study of the adult population.</w:t>
      </w:r>
    </w:p>
    <w:p w14:paraId="504C0C3B" w14:textId="11CE9A75" w:rsidR="00AD1037" w:rsidRDefault="00AD1037" w:rsidP="001A1360">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Based on this it can be concluded that increas</w:t>
      </w:r>
      <w:r w:rsidR="001A1360">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 xml:space="preserve"> immunity against diphtheria immunization is the impact of the role of memory cells that are still active in young adulthood. Memory cells formed on the primary immune response will rapidly develop the transformation blas, proliferation, and differentiation into plasma cells that produce antibodies. Similarly, cellular immunity, T lymphocytes will be more rapid transformation of blasts and differentiate into activated T cells, so the more established effector cells and memory cells.</w:t>
      </w:r>
      <w:r w:rsidR="00DD3F54">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{"citationItems":[{"id":"ITEM-1","itemData":{"author":[{"dropping-particle":"","family":"Wharton, M.","given":"and C. Vitek","non-dropping-particle":"","parse-names":false,"suffix":""}],"container-title":"Vaccine","edition":"S. A. Plot","id":"ITEM-1","issued":{"date-parts":[["2004"]]},"page":"211-28","title":"\"Diptheria Toxoid.\"","type":"chapter"},"uris":["http://www.mendeley.com/documents/?uuid=c51e1553-680a-4586-96d7-a233a7820314"]},{"id":"ITEM-2","itemData":{"author":[{"dropping-particle":"","family":"Tumbelaka AR","given":"","non-dropping-particle":"","parse-names":false,"suffix":""},{"dropping-particle":"","family":"Hadinegoro S","given":"","non-dropping-particle":"","parse-names":false,"suffix":""}],"edition":"2nd","editor":[{"dropping-particle":"","family":"Ranuh I","given":"","non-dropping-particle":"","parse-names":false,"suffix":""},{"dropping-particle":"","family":"Suyitno H","given":"","non-dropping-particle":"","parse-names":false,"suffix":""},{"dropping-particle":"","family":"Hadinegoro S","given":"","non-dropping-particle":"","parse-names":false,"suffix":""},{"dropping-particle":"","family":"Kartasasmita CB","given":"","non-dropping-particle":"","parse-names":false,"suffix":""}],"id":"ITEM-2","issued":{"date-parts":[["2005"]]},"number-of-pages":"98-109","publisher-place":"Jakarta","title":"Pedoman Imunisasi di Indonesia","type":"book"},"uris":["http://www.mendeley.com/documents/?uuid=ba3be046-8ebe-4b90-ae30-39069ac3abbe"]},{"id":"ITEM-3","itemData":{"author":[{"dropping-particle":"","family":"Galazka","given":"A","non-dropping-particle":"","parse-names":false,"suffix":""}],"id":"ITEM-3","issued":{"date-parts":[["1993"]]},"publisher":"Geneva: World Health Organization","title":"The Immunological Basis for Immunization. Module 1 : General Immunology","type":"book"},"uris":["http://www.mendeley.com/documents/?uuid=20fbb37f-b7e5-4c68-b0a3-8a4c3f41ae9d"]},{"id":"ITEM-4","itemData":{"author":[{"dropping-particle":"","family":"Akib A","given":"","non-dropping-particle":"","parse-names":false,"suffix":""}],"editor":[{"dropping-particle":"","family":"Oswari H, Hadinegoro SR, Trihono PP","given":"Sekartini R","non-dropping-particle":"","parse-names":false,"suffix":""}],"id":"ITEM-4","issued":{"date-parts":[["2010"]]},"publisher-place":"Jakarta","title":"2nd National symposium on Immunization","type":"book"},"uris":["http://www.mendeley.com/documents/?uuid=afd6eb65-dd79-4480-95df-1b1287f57ef2"]}],"mendeley":{"formattedCitation":"&lt;sup&gt;18–21&lt;/sup&gt;","plainTextFormattedCitation":"18–21","previouslyFormattedCitation":"&lt;sup&gt;18–21&lt;/sup&gt;"},"properties":{"noteIndex":0},"schema":"https://github.com/citation-style-language/schema/raw/master/csl-citation.json"}</w:instrText>
      </w:r>
      <w:r w:rsidR="00DD3F54">
        <w:rPr>
          <w:rFonts w:ascii="Times New Roman" w:hAnsi="Times New Roman" w:cs="Times New Roman"/>
          <w:color w:val="000000" w:themeColor="text1"/>
          <w:sz w:val="24"/>
          <w:szCs w:val="24"/>
        </w:rPr>
        <w:fldChar w:fldCharType="separate"/>
      </w:r>
      <w:r w:rsidR="00DD3F54" w:rsidRPr="00DD3F54">
        <w:rPr>
          <w:rFonts w:ascii="Times New Roman" w:hAnsi="Times New Roman" w:cs="Times New Roman"/>
          <w:noProof/>
          <w:color w:val="000000" w:themeColor="text1"/>
          <w:sz w:val="24"/>
          <w:szCs w:val="24"/>
          <w:vertAlign w:val="superscript"/>
        </w:rPr>
        <w:t>18-21</w:t>
      </w:r>
      <w:r w:rsidR="00DD3F54">
        <w:rPr>
          <w:rFonts w:ascii="Times New Roman" w:hAnsi="Times New Roman" w:cs="Times New Roman"/>
          <w:color w:val="000000" w:themeColor="text1"/>
          <w:sz w:val="24"/>
          <w:szCs w:val="24"/>
        </w:rPr>
        <w:fldChar w:fldCharType="end"/>
      </w:r>
      <w:r w:rsidR="00857332">
        <w:rPr>
          <w:rFonts w:ascii="Times New Roman" w:hAnsi="Times New Roman" w:cs="Times New Roman"/>
          <w:color w:val="000000" w:themeColor="text1"/>
          <w:sz w:val="24"/>
          <w:szCs w:val="24"/>
        </w:rPr>
        <w:t xml:space="preserve"> Previous studies conducted Pichichero et al</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{"citationItems":[{"id":"ITEM-1","itemData":{"DOI":"10.1542/peds.2005-1759","ISSN":"00314005","abstract":"BACKGROUND: The incidence of pertussis is increasing, especially in adolescents, attributed in part to waning of immunity after childhood immunization. Recently licensed in the United States for use in adolescents, acellular pertussis vaccines will provide an immunogenic and safe option for booster immunization against pertussis.\\n\\nMETHODS: This prospective, randomized, observer-blinded, multicenter, comparative study evaluated the safety and immunogenicity of a vaccine formulated with tetanus toxoid, reduced diphtheria toxoid, and acellular pertussis antigens (Tdap) compared with tetanus and diphtheria toxoids vaccine (Td) for booster immunization in adolescents. There were 4114 healthy adolescents aged 10 to 18 years who completed childhood vaccination against diphtheria, tetanus, and pertussis who were enrolled, randomized, and received study vaccine.\\n\\nRESULTS: Local and general symptoms were comparable between the Tdap and Td groups. The immune response of Tdap was comparable with Td vaccine for tetanus and diphtheria seroprotection and booster responses. In addition, geometric mean concentrations of antibody to pertussis antigens, pertussis toxoid, filamentous hemagglutinin, and pertactin exceeded the antibody response elicited after infant immunization with diphtheria and tetanus toxoids and acellular pertussis antigens (DTaP) that had proven efficacy against pertussis.\\n\\nCONCLUSIONS: In adolescents, the studied Tdap was safe and immunogenic and induced pertussis antibodies that were higher than those associated with efficacy in infants.","author":[{"dropping-particle":"","family":"Pichichero","given":"Michael E.","non-dropping-particle":"","parse-names":false,"suffix":""},{"dropping-particle":"","family":"Blatter","given":"Mark M.","non-dropping-particle":"","parse-names":false,"suffix":""},{"dropping-particle":"","family":"Kennedy","given":"William A.","non-dropping-particle":"","parse-names":false,"suffix":""},{"dropping-particle":"","family":"Hedrick","given":"James","non-dropping-particle":"","parse-names":false,"suffix":""},{"dropping-particle":"","family":"Descamps","given":"Dominique","non-dropping-particle":"","parse-names":false,"suffix":""},{"dropping-particle":"","family":"Friedland","given":"Leonard R.","non-dropping-particle":"","parse-names":false,"suffix":""}],"container-title":"Pediatrics","id":"ITEM-1","issued":{"date-parts":[["2006"]]},"title":"Acellular pertussis vaccine booster combined with diphtheria and tetanus toxoids for adolescents","type":"article-journal"},"uris":["http://www.mendeley.com/documents/?uuid=d3431a10-3ef5-465b-bfa9-b0ec3f2973e0"]}],"mendeley":{"formattedCitation":"&lt;sup&gt;22&lt;/sup&gt;","plainTextFormattedCitation":"22","previouslyFormattedCitation":"&lt;sup&gt;22&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22</w:t>
      </w:r>
      <w:r w:rsidR="00547456">
        <w:rPr>
          <w:rFonts w:ascii="Times New Roman" w:hAnsi="Times New Roman" w:cs="Times New Roman"/>
          <w:color w:val="000000" w:themeColor="text1"/>
          <w:sz w:val="24"/>
          <w:szCs w:val="24"/>
        </w:rPr>
        <w:fldChar w:fldCharType="end"/>
      </w:r>
      <w:r w:rsidR="000B064E">
        <w:rPr>
          <w:rFonts w:ascii="Times New Roman" w:hAnsi="Times New Roman" w:cs="Times New Roman"/>
          <w:color w:val="000000" w:themeColor="text1"/>
          <w:sz w:val="24"/>
          <w:szCs w:val="24"/>
        </w:rPr>
        <w:t xml:space="preserve">The United States uses </w:t>
      </w:r>
      <w:r w:rsidR="001A1360">
        <w:rPr>
          <w:rFonts w:ascii="Times New Roman" w:hAnsi="Times New Roman" w:cs="Times New Roman"/>
          <w:color w:val="000000" w:themeColor="text1"/>
          <w:sz w:val="24"/>
          <w:szCs w:val="24"/>
        </w:rPr>
        <w:t xml:space="preserve">the </w:t>
      </w:r>
      <w:r w:rsidR="000B064E">
        <w:rPr>
          <w:rFonts w:ascii="Times New Roman" w:hAnsi="Times New Roman" w:cs="Times New Roman"/>
          <w:color w:val="000000" w:themeColor="text1"/>
          <w:sz w:val="24"/>
          <w:szCs w:val="24"/>
        </w:rPr>
        <w:t xml:space="preserve">Td vaccine against 834 adolescents aged 10-18 years showed an increase of </w:t>
      </w:r>
      <w:r w:rsidR="001A1360">
        <w:rPr>
          <w:rFonts w:ascii="Times New Roman" w:hAnsi="Times New Roman" w:cs="Times New Roman"/>
          <w:color w:val="000000" w:themeColor="text1"/>
          <w:sz w:val="24"/>
          <w:szCs w:val="24"/>
        </w:rPr>
        <w:t>anti-</w:t>
      </w:r>
      <w:proofErr w:type="spellStart"/>
      <w:r w:rsidR="001A1360">
        <w:rPr>
          <w:rFonts w:ascii="Times New Roman" w:hAnsi="Times New Roman" w:cs="Times New Roman"/>
          <w:color w:val="000000" w:themeColor="text1"/>
          <w:sz w:val="24"/>
          <w:szCs w:val="24"/>
        </w:rPr>
        <w:t>Diptheria</w:t>
      </w:r>
      <w:proofErr w:type="spellEnd"/>
      <w:r w:rsidR="001A1360">
        <w:rPr>
          <w:rFonts w:ascii="Times New Roman" w:hAnsi="Times New Roman" w:cs="Times New Roman"/>
          <w:color w:val="000000" w:themeColor="text1"/>
          <w:sz w:val="24"/>
          <w:szCs w:val="24"/>
        </w:rPr>
        <w:t xml:space="preserve"> </w:t>
      </w:r>
      <w:r w:rsidR="000B064E">
        <w:rPr>
          <w:rFonts w:ascii="Times New Roman" w:hAnsi="Times New Roman" w:cs="Times New Roman"/>
          <w:color w:val="000000" w:themeColor="text1"/>
          <w:sz w:val="24"/>
          <w:szCs w:val="24"/>
        </w:rPr>
        <w:t xml:space="preserve">GMT </w:t>
      </w:r>
      <w:r w:rsidR="001A1360">
        <w:rPr>
          <w:rFonts w:ascii="Times New Roman" w:hAnsi="Times New Roman" w:cs="Times New Roman"/>
          <w:color w:val="000000" w:themeColor="text1"/>
          <w:sz w:val="24"/>
          <w:szCs w:val="24"/>
        </w:rPr>
        <w:t>from 0.34 to</w:t>
      </w:r>
      <w:r w:rsidR="000B064E">
        <w:rPr>
          <w:rFonts w:ascii="Times New Roman" w:hAnsi="Times New Roman" w:cs="Times New Roman"/>
          <w:color w:val="000000" w:themeColor="text1"/>
          <w:sz w:val="24"/>
          <w:szCs w:val="24"/>
        </w:rPr>
        <w:t xml:space="preserve"> 14.02 IU / mL. The results show that 5 times immunized against diphtheria-containing component since the age of 2 months had a 92.1% protection against teenagers. This study is also consistent with research Fadlyana et al</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{"citationItems":[{"id":"ITEM-1","itemData":{"abstract":"Imunisasi difteria, pertusis dan tetanus (DPT) telah lama masuk ke dalam program imunisasi nasional di Indonesia dan telah terbukti menurunkan angka kejadian maupun kematian yang disebabkan penyakit difteria, pertusis dan tetanus. Tujuan penelitian ini untuk melakukan evaluasi status kekebalan dan faktor keamanan terhadap penyakit difteria dan tetanus pada bayi yang mendapat imunisasi dasar DPT. Seratus enam puluh subjek bayi sehat yang dipilih secara random, dilakukan imunisasi secara intramuskular dengan dosis 0,5 ml sebanyak 3 kali pada umur 2, 3 dan 4 bulan, menggunakan vaksin DPT buatan PT. Bio-Farma Bandung. Penentuan titer antibodi difteria dan tetanus dilakukan sebelum dilakukan imunisasi dan 1 bulan setelah imunisasi ke-1, 2 dan 3, menggunakan metode ELISA. Apabila hasilnya &lt; 0,01 IU/ml disebut kelompok rentan dan bila &gt; 0,1 IU/ml disebut mempunyai kekebalan lengkap. Kejadian reaksi lokal (nyeri, kemerahan, bengkak, penebalan) dan sistemik (demam, iritabilitas) pasca imunisasi dicatat dalam buku catatan harian ibu. Hasil penelitian menunjukkan sebelum dilakukan imunisasi 57% subjek sudah tidak mempunyai perlindungan terhadap difteri dan 6% sudah tidak mempunyai perlindungan terhadap tetanus. Terhadap difteria, rata-rata geometrik titer (GMT) sebelum dan setelah mendapat imunisasi ke-1, 2 dan 3, memberikan hasil berturut-turut 0,008; 0,005; 0,038; dan 0,217 IU/ml; sedang jumlah subjek yang mempunyai titer &gt; 0,01 IU/ml berturut-turut adalah 44, 28, 44 dan 80%. Terhadap tetanus, rata-rata geometrik titer (GMT) sebelum dan setelah mendapat imunisasi ke-1, 2 dan 3, memberikan hasil berturut-turut: 0,420; 0,273; 0,213; dan 0,758 IU/ml; jumlah subjek yang mempunyai titer &gt; 0,01 IU/ml berturtut-turut adalah 94; 91; 100 dan 100%. Selama periode penelitian tidak ditemukan adanya reaksi vaksin berat. Reaksi lokal (nyeri, kemerahan, bengkak dan penebalan) dan reaksi sistemik (iritabilitas dan panas) sebagian besar dengan derajat ringan yang selanjutnya menghilang tanpa gejala sisa. Walaupun imunisasi DPT memberikan hasil kekebalan yang tinggi dan aman diberikan, namun pada kelompok yang masih rentan perlu mendapat perhatian. metode ELISA. Apabila hasilnya &lt; 0,01 IU/ml disebut kelompok rentan dan bila &gt; 0,1 IU/ml disebut mempunyai kekebalan lengkap. Kejadian reaksi lokal (nyeri, kemerahan, bengkak, penebalan) dan sistemik (demam, iritabilitas) pasca imunisasi dicatat dalam buku catatan harian ibu. Hasil penelitian menunjukkan sebelum dilakukan imunisasi 57%…","author":[{"dropping-particle":"","family":"Fadlyana E, Tanuwidjaja S, Rusmi Kl, Dhamayanti M, Soemara LH","given":"Dharmayanti R","non-dropping-particle":"","parse-names":false,"suffix":""}],"container-title":"Sari Pediatri, Vol. 4, No. 3, Desember 2002 Sari Pediatri,","id":"ITEM-1","issued":{"date-parts":[["2002"]]},"title":"Imunogenitas dan K eamanan V aksin DPT S etelah I munisasi D asar","type":"article-journal"},"uris":["http://www.mendeley.com/documents/?uuid=02930051-0c47-4cf7-96ae-b88dc5464376"]}],"mendeley":{"formattedCitation":"&lt;sup&gt;23&lt;/sup&gt;","plainTextFormattedCitation":"23","previouslyFormattedCitation":"&lt;sup&gt;23&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23</w:t>
      </w:r>
      <w:r w:rsidR="00547456">
        <w:rPr>
          <w:rFonts w:ascii="Times New Roman" w:hAnsi="Times New Roman" w:cs="Times New Roman"/>
          <w:color w:val="000000" w:themeColor="text1"/>
          <w:sz w:val="24"/>
          <w:szCs w:val="24"/>
        </w:rPr>
        <w:fldChar w:fldCharType="end"/>
      </w:r>
      <w:r w:rsidR="00987A94">
        <w:rPr>
          <w:rFonts w:ascii="Times New Roman" w:hAnsi="Times New Roman" w:cs="Times New Roman"/>
          <w:color w:val="000000" w:themeColor="text1"/>
          <w:sz w:val="24"/>
          <w:szCs w:val="24"/>
        </w:rPr>
        <w:t xml:space="preserve"> in Indonesia obtained after immunization GMT</w:t>
      </w:r>
      <w:r w:rsidR="001A1360">
        <w:rPr>
          <w:rFonts w:ascii="Times New Roman" w:hAnsi="Times New Roman" w:cs="Times New Roman"/>
          <w:color w:val="000000" w:themeColor="text1"/>
          <w:sz w:val="24"/>
          <w:szCs w:val="24"/>
        </w:rPr>
        <w:t xml:space="preserve"> of Td</w:t>
      </w:r>
      <w:r w:rsidR="00987A94">
        <w:rPr>
          <w:rFonts w:ascii="Times New Roman" w:hAnsi="Times New Roman" w:cs="Times New Roman"/>
          <w:color w:val="000000" w:themeColor="text1"/>
          <w:sz w:val="24"/>
          <w:szCs w:val="24"/>
        </w:rPr>
        <w:t xml:space="preserve"> increase in the adolescent population of 0.0618 IU / mL to 0.7583 IU / mL antibody concentration than that obtained </w:t>
      </w:r>
      <w:proofErr w:type="spellStart"/>
      <w:r w:rsidR="00987A94">
        <w:rPr>
          <w:rFonts w:ascii="Times New Roman" w:hAnsi="Times New Roman" w:cs="Times New Roman"/>
          <w:color w:val="000000" w:themeColor="text1"/>
          <w:sz w:val="24"/>
          <w:szCs w:val="24"/>
        </w:rPr>
        <w:t>se</w:t>
      </w:r>
      <w:r w:rsidR="001A1360">
        <w:rPr>
          <w:rFonts w:ascii="Times New Roman" w:hAnsi="Times New Roman" w:cs="Times New Roman"/>
          <w:color w:val="000000" w:themeColor="text1"/>
          <w:sz w:val="24"/>
          <w:szCs w:val="24"/>
        </w:rPr>
        <w:t>roprotection</w:t>
      </w:r>
      <w:proofErr w:type="spellEnd"/>
      <w:r w:rsidR="00987A94">
        <w:rPr>
          <w:rFonts w:ascii="Times New Roman" w:hAnsi="Times New Roman" w:cs="Times New Roman"/>
          <w:color w:val="000000" w:themeColor="text1"/>
          <w:sz w:val="24"/>
          <w:szCs w:val="24"/>
        </w:rPr>
        <w:t xml:space="preserve"> (</w:t>
      </w:r>
      <w:r w:rsidR="00987A94" w:rsidRPr="000C4F4F">
        <w:rPr>
          <w:rFonts w:ascii="Times New Roman" w:eastAsia="MS Gothic" w:hAnsi="Times New Roman" w:cs="Times New Roman"/>
          <w:color w:val="000000"/>
          <w:sz w:val="24"/>
          <w:szCs w:val="24"/>
        </w:rPr>
        <w:t>≥ 0.1 IU / mL) against diphtheria reached 93.2%.</w:t>
      </w:r>
    </w:p>
    <w:p w14:paraId="3F91CE9F" w14:textId="695D81D8" w:rsidR="00964C05" w:rsidRDefault="00525F53" w:rsidP="001A1360">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Results of research for data </w:t>
      </w:r>
      <w:r w:rsidR="001A1360">
        <w:rPr>
          <w:rFonts w:ascii="Times New Roman" w:hAnsi="Times New Roman" w:cs="Times New Roman"/>
          <w:color w:val="000000" w:themeColor="text1"/>
          <w:sz w:val="24"/>
          <w:szCs w:val="24"/>
        </w:rPr>
        <w:t>AEFI</w:t>
      </w:r>
      <w:r>
        <w:rPr>
          <w:rFonts w:ascii="Times New Roman" w:hAnsi="Times New Roman" w:cs="Times New Roman"/>
          <w:color w:val="000000" w:themeColor="text1"/>
          <w:sz w:val="24"/>
          <w:szCs w:val="24"/>
        </w:rPr>
        <w:t xml:space="preserve"> shows good tolerance to local reactions and systemic events. During the first 3 days of local </w:t>
      </w:r>
      <w:r w:rsidR="001A1360">
        <w:rPr>
          <w:rFonts w:ascii="Times New Roman" w:hAnsi="Times New Roman" w:cs="Times New Roman"/>
          <w:color w:val="000000" w:themeColor="text1"/>
          <w:sz w:val="24"/>
          <w:szCs w:val="24"/>
        </w:rPr>
        <w:t>AEFI</w:t>
      </w:r>
      <w:r>
        <w:rPr>
          <w:rFonts w:ascii="Times New Roman" w:hAnsi="Times New Roman" w:cs="Times New Roman"/>
          <w:color w:val="000000" w:themeColor="text1"/>
          <w:sz w:val="24"/>
          <w:szCs w:val="24"/>
        </w:rPr>
        <w:t xml:space="preserve"> recorded in the form of pain and itching. The incidence of local reactions such as pain gained 56.7% on the first day while the second day was reduced to 23.3% and then further reduced to 10% the third day, while for itch just got as much as 3.3% in the second and third days. Systemic reactions observed were also obtained in the first 3 days after getting the immunization of fever on the first day as much as 3.3%, then there is a mild muscle soreness around the injection site as much as 13.3% in the first and second days then 6.7% on the third day, On day 4-30 after immunization had not found the incidence of systemic and local reactions.</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{"citationItems":[{"id":"ITEM-1","itemData":{"DOI":"10.1016/S0264-410X(00)00315-7","ISSN":"0264410X","abstract":"Objectives: To raise the level of immunity to diphtheria in the adult population of Stockholm by a vaccination campaign. The rationale behind the campaign, conducted during 1995-1996, was the re-emergence of epidemic diphtheria in the countries of the former Soviet Union and earlier surveys of immunity to diphtheria showing low levels of protection in adults. Design and main outcome measures: The impact of the vaccination campaign was measured by recording the age and sex of vaccinees, the type and number of vaccine doses given and any side-effects. The effect on immunity was evaluated in 1998-1999 by measuring the neutralising antibodies in blood samples from 1863 inhabitants, chosen by random stratified sampling. Vaccines and vaccinations: three doses of diphtheria (D) or diphtheria-tetanus (DT) vaccine were given to those without documented previous vaccination; others received a booster dose. The DT vaccine, with the D component purified before toxoiding, contained 15 Lf of D and 7.5 Lf of T per ml, and was given in 0.5 ml doses for the two priming doses and 0.25 ml as booster. Results: 184 969 doses of D or DT vaccine were given to 99 939 individuals. Of the vaccinees, 65% were 50 years of age or older and 60% were women. The highest rates of reported local reactions were 1.8-5.4% and of systemic reactions, such as fever, 0.2-0.8%. The campaign resulted in a significant increase in antitoxin concentrations in the age cohorts targeted, and especially in women, less well protected than men. Conclusions: A vaccination campaign, targeting the adult part of a population, can result in a major improvement in immunity to diphtheria with only a few and minor side-effects with a DT vaccine where the D component was purified prior to toxoiding. Extending national immunisation programmes to include adults would, however, seem preferable. © 2000 Elsevier Science Ltd.","author":[{"dropping-particle":"","family":"Christenson","given":"Brith","non-dropping-particle":"","parse-names":false,"suffix":""},{"dropping-particle":"","family":"Hellström","given":"Ulla","non-dropping-particle":"","parse-names":false,"suffix":""},{"dropping-particle":"","family":"Sylvan","given":"Staffan P.E.","non-dropping-particle":"","parse-names":false,"suffix":""},{"dropping-particle":"","family":"Henriksson","given":"Lisbeth","non-dropping-particle":"","parse-names":false,"suffix":""},{"dropping-particle":"","family":"Granström","given":"Marta","non-dropping-particle":"","parse-names":false,"suffix":""}],"container-title":"Vaccine","id":"ITEM-1","issued":{"date-parts":[["2000"]]},"title":"Impact of a vaccination campaign on adult immunity to diphtheria","type":"article-journal"},"uris":["http://www.mendeley.com/documents/?uuid=e202eaf5-c045-48d6-b686-b55135fe69ed"]}],"mendeley":{"formattedCitation":"&lt;sup&gt;13&lt;/sup&gt;","plainTextFormattedCitation":"13","previouslyFormattedCitation":"&lt;sup&gt;13&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13</w:t>
      </w:r>
      <w:r w:rsidR="00547456">
        <w:rPr>
          <w:rFonts w:ascii="Times New Roman" w:hAnsi="Times New Roman" w:cs="Times New Roman"/>
          <w:color w:val="000000" w:themeColor="text1"/>
          <w:sz w:val="24"/>
          <w:szCs w:val="24"/>
        </w:rPr>
        <w:fldChar w:fldCharType="end"/>
      </w:r>
      <w:r w:rsidR="001A1360">
        <w:rPr>
          <w:rFonts w:ascii="Times New Roman" w:hAnsi="Times New Roman" w:cs="Times New Roman"/>
          <w:color w:val="000000" w:themeColor="text1"/>
          <w:sz w:val="24"/>
          <w:szCs w:val="24"/>
        </w:rPr>
        <w:t xml:space="preserve"> </w:t>
      </w:r>
      <w:r w:rsidR="003A0B02">
        <w:rPr>
          <w:rFonts w:ascii="Times New Roman" w:hAnsi="Times New Roman" w:cs="Times New Roman"/>
          <w:color w:val="000000" w:themeColor="text1"/>
          <w:sz w:val="24"/>
          <w:szCs w:val="24"/>
        </w:rPr>
        <w:t xml:space="preserve">in Stockholm Sweden in the adult population </w:t>
      </w:r>
      <w:r w:rsidR="001A1360">
        <w:rPr>
          <w:rFonts w:ascii="Times New Roman" w:hAnsi="Times New Roman" w:cs="Times New Roman"/>
          <w:color w:val="000000" w:themeColor="text1"/>
          <w:sz w:val="24"/>
          <w:szCs w:val="24"/>
        </w:rPr>
        <w:t>AEFI</w:t>
      </w:r>
      <w:r w:rsidR="003A0B02">
        <w:rPr>
          <w:rFonts w:ascii="Times New Roman" w:hAnsi="Times New Roman" w:cs="Times New Roman"/>
          <w:color w:val="000000" w:themeColor="text1"/>
          <w:sz w:val="24"/>
          <w:szCs w:val="24"/>
        </w:rPr>
        <w:t xml:space="preserve"> obtained by comparison of local reaction more than the systemic level is not large amounts at 1.8% -5.4% </w:t>
      </w:r>
      <w:r w:rsidR="003A0B02">
        <w:rPr>
          <w:rFonts w:ascii="Times New Roman" w:hAnsi="Times New Roman" w:cs="Times New Roman"/>
          <w:color w:val="000000" w:themeColor="text1"/>
          <w:sz w:val="24"/>
          <w:szCs w:val="24"/>
        </w:rPr>
        <w:lastRenderedPageBreak/>
        <w:t>and systemic reactions such as fever with a lower rate of 0.2% -0, 8%. In line with that Mortimer J et al</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{"citationItems":[{"id":"ITEM-1","itemData":{"DOI":"10.1016/S0140-6736(86)92194-X","ISSN":"01406736","abstract":"A low dose (1·5 Lf) diphtheria vaccine for use in adults was given to 310 university student volunteers whose diphtheria antitoxin titres were less than 0·1 IU per ml. The incidence of adverse reactions was low. Postimmunisation blood samples taken from 134 of the students showed that in susceptible vaccinees the vaccine induced titres of antitoxin were consistent with protection and that it boosted the titres of those whose immunity was low. © 1986.","author":[{"dropping-particle":"","family":"Mortimer","given":"Janet","non-dropping-particle":"","parse-names":false,"suffix":""},{"dropping-particle":"","family":"Melville-Smith","given":"Moira","non-dropping-particle":"","parse-names":false,"suffix":""},{"dropping-particle":"","family":"Sheffield","given":"Frank","non-dropping-particle":"","parse-names":false,"suffix":""}],"container-title":"The Lancet","id":"ITEM-1","issued":{"date-parts":[["1986"]]},"title":"DIPHTHERIA VACCINE FOR ADULTS","type":"article-journal"},"uris":["http://www.mendeley.com/documents/?uuid=52c02a47-1278-4fe3-9a97-7197ba7019a5"]}],"mendeley":{"formattedCitation":"&lt;sup&gt;17&lt;/sup&gt;","plainTextFormattedCitation":"17","previouslyFormattedCitation":"&lt;sup&gt;17&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17</w:t>
      </w:r>
      <w:r w:rsidR="00547456">
        <w:rPr>
          <w:rFonts w:ascii="Times New Roman" w:hAnsi="Times New Roman" w:cs="Times New Roman"/>
          <w:color w:val="000000" w:themeColor="text1"/>
          <w:sz w:val="24"/>
          <w:szCs w:val="24"/>
        </w:rPr>
        <w:fldChar w:fldCharType="end"/>
      </w:r>
      <w:r w:rsidR="001A1360">
        <w:rPr>
          <w:rFonts w:ascii="Times New Roman" w:hAnsi="Times New Roman" w:cs="Times New Roman"/>
          <w:color w:val="000000" w:themeColor="text1"/>
          <w:sz w:val="24"/>
          <w:szCs w:val="24"/>
        </w:rPr>
        <w:t xml:space="preserve"> </w:t>
      </w:r>
      <w:r w:rsidR="001A016D">
        <w:rPr>
          <w:rFonts w:ascii="Times New Roman" w:hAnsi="Times New Roman" w:cs="Times New Roman"/>
          <w:color w:val="000000" w:themeColor="text1"/>
          <w:sz w:val="24"/>
          <w:szCs w:val="24"/>
        </w:rPr>
        <w:t>London also get only mild local reactions occur in the first weeks post-immunization. Wiboonchutikl S et al</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{"citationItems":[{"id":"ITEM-1","itemData":{"DOI":"10.1016/j.ajic.2014.03.005","ISSN":"15273296","abstract":"A prospective study to evaluate immune status against diphtheria and immunologic response after tetanus-diphtheria (Td) booster vaccination was conducted in 250 Thai health care workers (HCWs). A protective antibody was found in 89.2% of the HCWs (95% confidence interval [CI], 83.3%-91.5%) before receipt of the Td booster vaccination, compared with 97.2% (95% CI, 95.1%-99.3%) after receipt of the first dose of booster (P &lt;.001). The mean antibody level against diphtheria increased from 0.39 IU/mL (95% CI, 0.35-0.44 IU/mL) before the Td booster vaccination to 1.20 IU/mL (95% CI, 1.12-1.29 IU/mL) after the vaccination (P &lt;.001). Td booster vaccination should be considered for Thai HCWs to maintain immunity against diphtheria, which still circulates in Thailand. © 2014 Published by Elsevier Inc.","author":[{"dropping-particle":"","family":"Wiboonchutikul","given":"Surasak","non-dropping-particle":"","parse-names":false,"suffix":""},{"dropping-particle":"","family":"Manosuthi","given":"Weerawat","non-dropping-particle":"","parse-names":false,"suffix":""},{"dropping-particle":"","family":"Sangsajja","given":"Chariya","non-dropping-particle":"","parse-names":false,"suffix":""},{"dropping-particle":"","family":"Thientong","given":"Varaporn","non-dropping-particle":"","parse-names":false,"suffix":""},{"dropping-particle":"","family":"Likanonsakul","given":"Sirirat","non-dropping-particle":"","parse-names":false,"suffix":""},{"dropping-particle":"","family":"Srisopha","given":"Somkid","non-dropping-particle":"","parse-names":false,"suffix":""},{"dropping-particle":"","family":"Termvises","given":"Patamavadee","non-dropping-particle":"","parse-names":false,"suffix":""},{"dropping-particle":"","family":"Rujitip","given":"Jitlada","non-dropping-particle":"","parse-names":false,"suffix":""},{"dropping-particle":"","family":"Loiusirirotchanakul","given":"Suda","non-dropping-particle":"","parse-names":false,"suffix":""},{"dropping-particle":"","family":"Puthavathana","given":"Pilaipan","non-dropping-particle":"","parse-names":false,"suffix":""}],"container-title":"American Journal of Infection Control","id":"ITEM-1","issued":{"date-parts":[["2014"]]},"title":"Baseline immunity to diphtheria and immunologic response after booster vaccination with reduced diphtheria and tetanus toxoid vaccine in Thai health care workers","type":"article-journal"},"uris":["http://www.mendeley.com/documents/?uuid=ca6b433f-375b-447c-b3bf-544f578d13f5"]}],"mendeley":{"formattedCitation":"&lt;sup&gt;24&lt;/sup&gt;","plainTextFormattedCitation":"24","previouslyFormattedCitation":"&lt;sup&gt;24&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24</w:t>
      </w:r>
      <w:r w:rsidR="00547456">
        <w:rPr>
          <w:rFonts w:ascii="Times New Roman" w:hAnsi="Times New Roman" w:cs="Times New Roman"/>
          <w:color w:val="000000" w:themeColor="text1"/>
          <w:sz w:val="24"/>
          <w:szCs w:val="24"/>
        </w:rPr>
        <w:fldChar w:fldCharType="end"/>
      </w:r>
      <w:r w:rsidR="001A1360">
        <w:rPr>
          <w:rFonts w:ascii="Times New Roman" w:hAnsi="Times New Roman" w:cs="Times New Roman"/>
          <w:color w:val="000000" w:themeColor="text1"/>
          <w:sz w:val="24"/>
          <w:szCs w:val="24"/>
        </w:rPr>
        <w:t xml:space="preserve"> in </w:t>
      </w:r>
      <w:r w:rsidR="00465B10">
        <w:rPr>
          <w:rFonts w:ascii="Times New Roman" w:hAnsi="Times New Roman" w:cs="Times New Roman"/>
          <w:color w:val="000000" w:themeColor="text1"/>
          <w:sz w:val="24"/>
          <w:szCs w:val="24"/>
        </w:rPr>
        <w:t>Bangkok Thailand also get</w:t>
      </w:r>
      <w:r w:rsidR="001A1360">
        <w:rPr>
          <w:rFonts w:ascii="Times New Roman" w:hAnsi="Times New Roman" w:cs="Times New Roman"/>
          <w:color w:val="000000" w:themeColor="text1"/>
          <w:sz w:val="24"/>
          <w:szCs w:val="24"/>
        </w:rPr>
        <w:t>s</w:t>
      </w:r>
      <w:r w:rsidR="00465B10">
        <w:rPr>
          <w:rFonts w:ascii="Times New Roman" w:hAnsi="Times New Roman" w:cs="Times New Roman"/>
          <w:color w:val="000000" w:themeColor="text1"/>
          <w:sz w:val="24"/>
          <w:szCs w:val="24"/>
        </w:rPr>
        <w:t xml:space="preserve"> the same results in the adult population where the average levels of antibodies increase of 0.39 IU / mL to 1.20 post-immunization IU./mL Td. Another interesting thing was also found by Tomovici A et al</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{"citationItems":[{"id":"ITEM-1","itemData":{"DOI":"10.1016/j.vaccine.2018.03.029","ISSN":"18732518","abstract":"Background: In a prospective, randomized pivotal phase III clinical trial, the immunogenicity and reactogenicity of a tetanus-diphtheria-acellular pertussis vaccine (Tdap) and a tetanus-diphtheria vaccine (Td) vaccine were studied in participants aged 11–64 years. Here we report antibody persistence through 10 years after vaccination. Methods: Participants who received Tdap or Td in the original phase III trial and provided pre- and post-vaccination serum samples were recruited to donate sera at 1, 3, 5 and 10 years post-vaccination. Antibody concentrations were measured using standard assay techniques. Results: Initially, 1457 Tdap and 1152 Td recipients were included; of these, 175 persons from Tdap group were available at the final study bleed point. Nearly all adolescents in both groups had diphtheria antibody levels ≥0.1 IU/mL 1 month after vaccination, which were maintained in ≥95% of vaccinees at 5 and 10 years. Among adults, ≥94% had diphtheria antibody levels ≥0.1 IU/mL 1 month after vaccination, which were maintained in ≥80% at 5 and 10 years. Nearly all participants had tetanus antibodies ≥0.1 IU/mL throughout the study. PT antibodies declined to pre-vaccination levels approximately 5 years post-vaccination; FHA, PRN and FIM antibodies waned at 5 and 10 years but remained several-fold higher than pre-vaccination levels. Conclusions: Tdap and Td provide long-lasting protective immune responses against diphtheria and tetanus. Pertussis antibodies following Tdap generally exceeded pre-vaccination levels throughout the study, but showed substantial waning. These data may inform discussion of the need for repeat Tdap booster vaccinations among adults. Trial registration: The original phase III clinical trial, as well as the 1-, 3-, and 5-year serology follow-up studies were conducted prior to mandatory registration. The 10-year serology follow-up data collection was performed as part of a repeat Tdap administration clinical trial that was registered under clinicaltrials.gov number NCT01439165.","author":[{"dropping-particle":"","family":"Pool","given":"Vitali","non-dropping-particle":"","parse-names":false,"suffix":""},{"dropping-particle":"","family":"Tomovici","given":"Antigona","non-dropping-particle":"","parse-names":false,"suffix":""},{"dropping-particle":"","family":"Johnson","given":"David R.","non-dropping-particle":"","parse-names":false,"suffix":""},{"dropping-particle":"","family":"Greenberg","given":"David P.","non-dropping-particle":"","parse-names":false,"suffix":""},{"dropping-particle":"","family":"Decker","given":"Michael D.","non-dropping-particle":"","parse-names":false,"suffix":""}],"container-title":"Vaccine","id":"ITEM-1","issued":{"date-parts":[["2018"]]},"title":"Humoral immunity 10 years after booster immunization with an adolescent and adult formulation combined tetanus, diphtheria, and 5-component acellular pertussis vaccine in the USA","type":"article-journal"},"uris":["http://www.mendeley.com/documents/?uuid=9767e26c-0b5c-4f93-b96c-b1c1c417c0fb"]}],"mendeley":{"formattedCitation":"&lt;sup&gt;25&lt;/sup&gt;","plainTextFormattedCitation":"25","previouslyFormattedCitation":"&lt;sup&gt;25&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25</w:t>
      </w:r>
      <w:r w:rsidR="00547456">
        <w:rPr>
          <w:rFonts w:ascii="Times New Roman" w:hAnsi="Times New Roman" w:cs="Times New Roman"/>
          <w:color w:val="000000" w:themeColor="text1"/>
          <w:sz w:val="24"/>
          <w:szCs w:val="24"/>
        </w:rPr>
        <w:fldChar w:fldCharType="end"/>
      </w:r>
      <w:r w:rsidR="001A1360">
        <w:rPr>
          <w:rFonts w:ascii="Times New Roman" w:hAnsi="Times New Roman" w:cs="Times New Roman"/>
          <w:color w:val="000000" w:themeColor="text1"/>
          <w:sz w:val="24"/>
          <w:szCs w:val="24"/>
        </w:rPr>
        <w:t xml:space="preserve"> </w:t>
      </w:r>
      <w:r w:rsidR="00465B10">
        <w:rPr>
          <w:rFonts w:ascii="Times New Roman" w:hAnsi="Times New Roman" w:cs="Times New Roman"/>
          <w:color w:val="000000" w:themeColor="text1"/>
          <w:sz w:val="24"/>
          <w:szCs w:val="24"/>
        </w:rPr>
        <w:t>in the United States there is a rise in antibody levels after immunization with the highest peak one</w:t>
      </w:r>
      <w:r w:rsidR="001A1360">
        <w:rPr>
          <w:rFonts w:ascii="Times New Roman" w:hAnsi="Times New Roman" w:cs="Times New Roman"/>
          <w:color w:val="000000" w:themeColor="text1"/>
          <w:sz w:val="24"/>
          <w:szCs w:val="24"/>
        </w:rPr>
        <w:t>-</w:t>
      </w:r>
      <w:r w:rsidR="00465B10">
        <w:rPr>
          <w:rFonts w:ascii="Times New Roman" w:hAnsi="Times New Roman" w:cs="Times New Roman"/>
          <w:color w:val="000000" w:themeColor="text1"/>
          <w:sz w:val="24"/>
          <w:szCs w:val="24"/>
        </w:rPr>
        <w:t>month post</w:t>
      </w:r>
      <w:r w:rsidR="001A1360">
        <w:rPr>
          <w:rFonts w:ascii="Times New Roman" w:hAnsi="Times New Roman" w:cs="Times New Roman"/>
          <w:color w:val="000000" w:themeColor="text1"/>
          <w:sz w:val="24"/>
          <w:szCs w:val="24"/>
        </w:rPr>
        <w:t>-</w:t>
      </w:r>
      <w:r w:rsidR="00465B10">
        <w:rPr>
          <w:rFonts w:ascii="Times New Roman" w:hAnsi="Times New Roman" w:cs="Times New Roman"/>
          <w:color w:val="000000" w:themeColor="text1"/>
          <w:sz w:val="24"/>
          <w:szCs w:val="24"/>
        </w:rPr>
        <w:t>immunization then declined and last up to 10 years after immunization. Research in Indonesia but in the adolescent population Fadlyana et al</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{"citationItems":[{"id":"ITEM-1","itemData":{"abstract":"Imunisasi difteria, pertusis dan tetanus (DPT) telah lama masuk ke dalam program imunisasi nasional di Indonesia dan telah terbukti menurunkan angka kejadian maupun kematian yang disebabkan penyakit difteria, pertusis dan tetanus. Tujuan penelitian ini untuk melakukan evaluasi status kekebalan dan faktor keamanan terhadap penyakit difteria dan tetanus pada bayi yang mendapat imunisasi dasar DPT. Seratus enam puluh subjek bayi sehat yang dipilih secara random, dilakukan imunisasi secara intramuskular dengan dosis 0,5 ml sebanyak 3 kali pada umur 2, 3 dan 4 bulan, menggunakan vaksin DPT buatan PT. Bio-Farma Bandung. Penentuan titer antibodi difteria dan tetanus dilakukan sebelum dilakukan imunisasi dan 1 bulan setelah imunisasi ke-1, 2 dan 3, menggunakan metode ELISA. Apabila hasilnya &lt; 0,01 IU/ml disebut kelompok rentan dan bila &gt; 0,1 IU/ml disebut mempunyai kekebalan lengkap. Kejadian reaksi lokal (nyeri, kemerahan, bengkak, penebalan) dan sistemik (demam, iritabilitas) pasca imunisasi dicatat dalam buku catatan harian ibu. Hasil penelitian menunjukkan sebelum dilakukan imunisasi 57% subjek sudah tidak mempunyai perlindungan terhadap difteri dan 6% sudah tidak mempunyai perlindungan terhadap tetanus. Terhadap difteria, rata-rata geometrik titer (GMT) sebelum dan setelah mendapat imunisasi ke-1, 2 dan 3, memberikan hasil berturut-turut 0,008; 0,005; 0,038; dan 0,217 IU/ml; sedang jumlah subjek yang mempunyai titer &gt; 0,01 IU/ml berturut-turut adalah 44, 28, 44 dan 80%. Terhadap tetanus, rata-rata geometrik titer (GMT) sebelum dan setelah mendapat imunisasi ke-1, 2 dan 3, memberikan hasil berturut-turut: 0,420; 0,273; 0,213; dan 0,758 IU/ml; jumlah subjek yang mempunyai titer &gt; 0,01 IU/ml berturtut-turut adalah 94; 91; 100 dan 100%. Selama periode penelitian tidak ditemukan adanya reaksi vaksin berat. Reaksi lokal (nyeri, kemerahan, bengkak dan penebalan) dan reaksi sistemik (iritabilitas dan panas) sebagian besar dengan derajat ringan yang selanjutnya menghilang tanpa gejala sisa. Walaupun imunisasi DPT memberikan hasil kekebalan yang tinggi dan aman diberikan, namun pada kelompok yang masih rentan perlu mendapat perhatian. metode ELISA. Apabila hasilnya &lt; 0,01 IU/ml disebut kelompok rentan dan bila &gt; 0,1 IU/ml disebut mempunyai kekebalan lengkap. Kejadian reaksi lokal (nyeri, kemerahan, bengkak, penebalan) dan sistemik (demam, iritabilitas) pasca imunisasi dicatat dalam buku catatan harian ibu. Hasil penelitian menunjukkan sebelum dilakukan imunisasi 57%…","author":[{"dropping-particle":"","family":"Fadlyana E, Tanuwidjaja S, Rusmi Kl, Dhamayanti M, Soemara LH","given":"Dharmayanti R","non-dropping-particle":"","parse-names":false,"suffix":""}],"container-title":"Sari Pediatri, Vol. 4, No. 3, Desember 2002 Sari Pediatri,","id":"ITEM-1","issued":{"date-parts":[["2002"]]},"title":"Imunogenitas dan K eamanan V aksin DPT S etelah I munisasi D asar","type":"article-journal"},"uris":["http://www.mendeley.com/documents/?uuid=02930051-0c47-4cf7-96ae-b88dc5464376"]}],"mendeley":{"formattedCitation":"&lt;sup&gt;23&lt;/sup&gt;","plainTextFormattedCitation":"23","previouslyFormattedCitation":"&lt;sup&gt;23&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23</w:t>
      </w:r>
      <w:r w:rsidR="00547456">
        <w:rPr>
          <w:rFonts w:ascii="Times New Roman" w:hAnsi="Times New Roman" w:cs="Times New Roman"/>
          <w:color w:val="000000" w:themeColor="text1"/>
          <w:sz w:val="24"/>
          <w:szCs w:val="24"/>
        </w:rPr>
        <w:fldChar w:fldCharType="end"/>
      </w:r>
      <w:r w:rsidR="000C4F4F">
        <w:rPr>
          <w:rFonts w:ascii="Times New Roman" w:hAnsi="Times New Roman" w:cs="Times New Roman"/>
          <w:color w:val="000000" w:themeColor="text1"/>
          <w:sz w:val="24"/>
          <w:szCs w:val="24"/>
        </w:rPr>
        <w:t xml:space="preserve"> also get Kipi that occurred in the first 3 days after immunization in the form of local reactions at the injection site pain by 20.3%, for systemic reactions there is a fever of 0.7 to 4.7% and there are no co-occurring post-immunization reactions are serious and can well tolerate. </w:t>
      </w:r>
    </w:p>
    <w:p w14:paraId="6E596DD7" w14:textId="3E0832B3" w:rsidR="00F416BE" w:rsidRDefault="009C2FC8" w:rsidP="001A1360">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Local reactions place injection and systemic post-immunization events are influenced by the number of doses of diphtheria has been received, the mode of administration</w:t>
      </w:r>
      <w:r w:rsidR="001A1360">
        <w:rPr>
          <w:rFonts w:ascii="Times New Roman" w:hAnsi="Times New Roman" w:cs="Times New Roman"/>
          <w:color w:val="000000" w:themeColor="text1"/>
          <w:sz w:val="24"/>
          <w:szCs w:val="24"/>
        </w:rPr>
        <w:t>, as well as the level of anti diphtheria,</w:t>
      </w:r>
      <w:r>
        <w:rPr>
          <w:rFonts w:ascii="Times New Roman" w:hAnsi="Times New Roman" w:cs="Times New Roman"/>
          <w:color w:val="000000" w:themeColor="text1"/>
          <w:sz w:val="24"/>
          <w:szCs w:val="24"/>
        </w:rPr>
        <w:t xml:space="preserve"> owned vaccine recipients. Someone who already has a high titer of anti-diphtheria higher risk occurs reactions and events locally and systemically.</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{"citationItems":[{"id":"ITEM-1","itemData":{"abstract":"Imunisasi difteria, pertusis dan tetanus (DPT) telah lama masuk ke dalam program imunisasi nasional di Indonesia dan telah terbukti menurunkan angka kejadian maupun kematian yang disebabkan penyakit difteria, pertusis dan tetanus. Tujuan penelitian ini untuk melakukan evaluasi status kekebalan dan faktor keamanan terhadap penyakit difteria dan tetanus pada bayi yang mendapat imunisasi dasar DPT. Seratus enam puluh subjek bayi sehat yang dipilih secara random, dilakukan imunisasi secara intramuskular dengan dosis 0,5 ml sebanyak 3 kali pada umur 2, 3 dan 4 bulan, menggunakan vaksin DPT buatan PT. Bio-Farma Bandung. Penentuan titer antibodi difteria dan tetanus dilakukan sebelum dilakukan imunisasi dan 1 bulan setelah imunisasi ke-1, 2 dan 3, menggunakan metode ELISA. Apabila hasilnya &lt; 0,01 IU/ml disebut kelompok rentan dan bila &gt; 0,1 IU/ml disebut mempunyai kekebalan lengkap. Kejadian reaksi lokal (nyeri, kemerahan, bengkak, penebalan) dan sistemik (demam, iritabilitas) pasca imunisasi dicatat dalam buku catatan harian ibu. Hasil penelitian menunjukkan sebelum dilakukan imunisasi 57% subjek sudah tidak mempunyai perlindungan terhadap difteri dan 6% sudah tidak mempunyai perlindungan terhadap tetanus. Terhadap difteria, rata-rata geometrik titer (GMT) sebelum dan setelah mendapat imunisasi ke-1, 2 dan 3, memberikan hasil berturut-turut 0,008; 0,005; 0,038; dan 0,217 IU/ml; sedang jumlah subjek yang mempunyai titer &gt; 0,01 IU/ml berturut-turut adalah 44, 28, 44 dan 80%. Terhadap tetanus, rata-rata geometrik titer (GMT) sebelum dan setelah mendapat imunisasi ke-1, 2 dan 3, memberikan hasil berturut-turut: 0,420; 0,273; 0,213; dan 0,758 IU/ml; jumlah subjek yang mempunyai titer &gt; 0,01 IU/ml berturtut-turut adalah 94; 91; 100 dan 100%. Selama periode penelitian tidak ditemukan adanya reaksi vaksin berat. Reaksi lokal (nyeri, kemerahan, bengkak dan penebalan) dan reaksi sistemik (iritabilitas dan panas) sebagian besar dengan derajat ringan yang selanjutnya menghilang tanpa gejala sisa. Walaupun imunisasi DPT memberikan hasil kekebalan yang tinggi dan aman diberikan, namun pada kelompok yang masih rentan perlu mendapat perhatian. metode ELISA. Apabila hasilnya &lt; 0,01 IU/ml disebut kelompok rentan dan bila &gt; 0,1 IU/ml disebut mempunyai kekebalan lengkap. Kejadian reaksi lokal (nyeri, kemerahan, bengkak, penebalan) dan sistemik (demam, iritabilitas) pasca imunisasi dicatat dalam buku catatan harian ibu. Hasil penelitian menunjukkan sebelum dilakukan imunisasi 57%…","author":[{"dropping-particle":"","family":"Fadlyana E, Tanuwidjaja S, Rusmi Kl, Dhamayanti M, Soemara LH","given":"Dharmayanti R","non-dropping-particle":"","parse-names":false,"suffix":""}],"container-title":"Sari Pediatri, Vol. 4, No. 3, Desember 2002 Sari Pediatri,","id":"ITEM-1","issued":{"date-parts":[["2002"]]},"title":"Imunogenitas dan K eamanan V aksin DPT S etelah I munisasi D asar","type":"article-journal"},"uris":["http://www.mendeley.com/documents/?uuid=02930051-0c47-4cf7-96ae-b88dc5464376"]},{"id":"ITEM-2","itemData":{"DOI":"WHO/V&amp;B/00.36","author":[{"dropping-particle":"","family":"World Health Organization(WHO)","given":"","non-dropping-particle":"","parse-names":false,"suffix":""}],"container-title":"World Health Organization Geneva","id":"ITEM-2","issued":{"date-parts":[["2000"]]},"title":"Supplementary information on vaccine safety DEPARTMENT OF VACCINES AND BIOLOGICALS The Department of Vaccines and Biologicals thanks the donors whose unspecified financial support has made the production of this document possible","type":"article-journal"},"uris":["http://www.mendeley.com/documents/?uuid=1c564405-2fbd-4767-8a3c-b9fb132c47f3"]},{"id":"ITEM-3","itemData":{"ISSN":"00314005","abstract":"Parents from four practices were surveyed to ascertain reactions of children to diphtheria-pertussis-tetanus (DPT) vaccine in the 48 hours after immunization. Vaccines were administered according to current recommendations. Responses were scored in three categories: temperature, behavioral changes, and local reactions. Questionnaires were returned by 1,232 (84.9%) patients. Only 7.0% reported no reaction, while 336 (27.3%) reported mild, 722 (58.6%) moderate, and 88 (7.1%) severe reactions. Over 50% experienced temperatures of at least 100 F, and 80% noted behavioral changes; 72.2% had local reactions. No encephalitis, seizures, or hospitalizations were reported. Reactogenicity was similar for the five immunizations of the recommended series and the two manufacturers evaluated. Reported reactions in the control group were significantly lower than in the study group. These reaction rates underline the need to reevaluate present DPT vaccines.","author":[{"dropping-particle":"","family":"Barkin","given":"R. M.","non-dropping-particle":"","parse-names":false,"suffix":""},{"dropping-particle":"","family":"Pichichero","given":"M. E.","non-dropping-particle":"","parse-names":false,"suffix":""}],"container-title":"Pediatrics","id":"ITEM-3","issued":{"date-parts":[["1979"]]},"title":"Diphtheria pertussis tetanus vaccine: Reactogenicity of commercial products","type":"article-journal"},"uris":["http://www.mendeley.com/documents/?uuid=fca58d94-55d9-48cd-bb21-7c30c1326a53"]}],"mendeley":{"formattedCitation":"&lt;sup&gt;23,26,27&lt;/sup&gt;","plainTextFormattedCitation":"23,26,27","previouslyFormattedCitation":"&lt;sup&gt;23,26,27&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23,26,27</w:t>
      </w:r>
      <w:r w:rsidR="00547456">
        <w:rPr>
          <w:rFonts w:ascii="Times New Roman" w:hAnsi="Times New Roman" w:cs="Times New Roman"/>
          <w:color w:val="000000" w:themeColor="text1"/>
          <w:sz w:val="24"/>
          <w:szCs w:val="24"/>
        </w:rPr>
        <w:fldChar w:fldCharType="end"/>
      </w:r>
      <w:r w:rsidR="003064E0">
        <w:rPr>
          <w:rFonts w:ascii="Times New Roman" w:hAnsi="Times New Roman" w:cs="Times New Roman"/>
          <w:color w:val="000000" w:themeColor="text1"/>
          <w:sz w:val="24"/>
          <w:szCs w:val="24"/>
          <w:vertAlign w:val="superscript"/>
        </w:rPr>
        <w:t xml:space="preserve"> </w:t>
      </w:r>
      <w:r w:rsidR="00F338E4">
        <w:rPr>
          <w:rFonts w:ascii="Times New Roman" w:hAnsi="Times New Roman" w:cs="Times New Roman"/>
          <w:color w:val="000000" w:themeColor="text1"/>
          <w:sz w:val="24"/>
          <w:szCs w:val="24"/>
        </w:rPr>
        <w:t>According to a report compiled by the WHO</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{"citationItems":[{"id":"ITEM-1","itemData":{"DOI":"WHO/V&amp;B/00.36","author":[{"dropping-particle":"","family":"World Health Organization(WHO)","given":"","non-dropping-particle":"","parse-names":false,"suffix":""}],"container-title":"World Health Organization Geneva","id":"ITEM-1","issued":{"date-parts":[["2000"]]},"title":"Supplementary information on vaccine safety DEPARTMENT OF VACCINES AND BIOLOGICALS The Department of Vaccines and Biologicals thanks the donors whose unspecified financial support has made the production of this document possible","type":"article-journal"},"uris":["http://www.mendeley.com/documents/?uuid=1c564405-2fbd-4767-8a3c-b9fb132c47f3"]}],"mendeley":{"formattedCitation":"&lt;sup&gt;26&lt;/sup&gt;","plainTextFormattedCitation":"26","previouslyFormattedCitation":"&lt;sup&gt;26&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26</w:t>
      </w:r>
      <w:r w:rsidR="00547456">
        <w:rPr>
          <w:rFonts w:ascii="Times New Roman" w:hAnsi="Times New Roman" w:cs="Times New Roman"/>
          <w:color w:val="000000" w:themeColor="text1"/>
          <w:sz w:val="24"/>
          <w:szCs w:val="24"/>
        </w:rPr>
        <w:fldChar w:fldCharType="end"/>
      </w:r>
      <w:r w:rsidR="00EF6E2F">
        <w:rPr>
          <w:rFonts w:ascii="Times New Roman" w:hAnsi="Times New Roman" w:cs="Times New Roman"/>
          <w:color w:val="000000" w:themeColor="text1"/>
          <w:sz w:val="24"/>
          <w:szCs w:val="24"/>
        </w:rPr>
        <w:t>, Td immunization cause local reactions such as pain, induration</w:t>
      </w:r>
      <w:r w:rsidR="001A1360">
        <w:rPr>
          <w:rFonts w:ascii="Times New Roman" w:hAnsi="Times New Roman" w:cs="Times New Roman"/>
          <w:color w:val="000000" w:themeColor="text1"/>
          <w:sz w:val="24"/>
          <w:szCs w:val="24"/>
        </w:rPr>
        <w:t>,</w:t>
      </w:r>
      <w:r w:rsidR="00EF6E2F">
        <w:rPr>
          <w:rFonts w:ascii="Times New Roman" w:hAnsi="Times New Roman" w:cs="Times New Roman"/>
          <w:color w:val="000000" w:themeColor="text1"/>
          <w:sz w:val="24"/>
          <w:szCs w:val="24"/>
        </w:rPr>
        <w:t xml:space="preserve"> and redness in 10-75% of cases. In some cases there is induration that lasted a few weeks. </w:t>
      </w:r>
      <w:r w:rsidR="001A1360">
        <w:rPr>
          <w:rFonts w:ascii="Times New Roman" w:hAnsi="Times New Roman" w:cs="Times New Roman"/>
          <w:color w:val="000000" w:themeColor="text1"/>
          <w:sz w:val="24"/>
          <w:szCs w:val="24"/>
        </w:rPr>
        <w:t>A s</w:t>
      </w:r>
      <w:r w:rsidR="00EF6E2F">
        <w:rPr>
          <w:rFonts w:ascii="Times New Roman" w:hAnsi="Times New Roman" w:cs="Times New Roman"/>
          <w:color w:val="000000" w:themeColor="text1"/>
          <w:sz w:val="24"/>
          <w:szCs w:val="24"/>
        </w:rPr>
        <w:t>terile abscess occurs in 6-10 cases per 1 million doses. Fever and other systemic events (muscle pain and headache) occurred in 10% of cases. In research using Tdap vaccine (tetanus, diphtheria, and acellular pertussis) given a single dose in adolescents provide results that are as safe as Td vaccine.</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{"citationItems":[{"id":"ITEM-1","itemData":{"DOI":"10.1542/peds.2005-1759","ISSN":"00314005","abstract":"BACKGROUND: The incidence of pertussis is increasing, especially in adolescents, attributed in part to waning of immunity after childhood immunization. Recently licensed in the United States for use in adolescents, acellular pertussis vaccines will provide an immunogenic and safe option for booster immunization against pertussis.\\n\\nMETHODS: This prospective, randomized, observer-blinded, multicenter, comparative study evaluated the safety and immunogenicity of a vaccine formulated with tetanus toxoid, reduced diphtheria toxoid, and acellular pertussis antigens (Tdap) compared with tetanus and diphtheria toxoids vaccine (Td) for booster immunization in adolescents. There were 4114 healthy adolescents aged 10 to 18 years who completed childhood vaccination against diphtheria, tetanus, and pertussis who were enrolled, randomized, and received study vaccine.\\n\\nRESULTS: Local and general symptoms were comparable between the Tdap and Td groups. The immune response of Tdap was comparable with Td vaccine for tetanus and diphtheria seroprotection and booster responses. In addition, geometric mean concentrations of antibody to pertussis antigens, pertussis toxoid, filamentous hemagglutinin, and pertactin exceeded the antibody response elicited after infant immunization with diphtheria and tetanus toxoids and acellular pertussis antigens (DTaP) that had proven efficacy against pertussis.\\n\\nCONCLUSIONS: In adolescents, the studied Tdap was safe and immunogenic and induced pertussis antibodies that were higher than those associated with efficacy in infants.","author":[{"dropping-particle":"","family":"Pichichero","given":"Michael E.","non-dropping-particle":"","parse-names":false,"suffix":""},{"dropping-particle":"","family":"Blatter","given":"Mark M.","non-dropping-particle":"","parse-names":false,"suffix":""},{"dropping-particle":"","family":"Kennedy","given":"William A.","non-dropping-particle":"","parse-names":false,"suffix":""},{"dropping-particle":"","family":"Hedrick","given":"James","non-dropping-particle":"","parse-names":false,"suffix":""},{"dropping-particle":"","family":"Descamps","given":"Dominique","non-dropping-particle":"","parse-names":false,"suffix":""},{"dropping-particle":"","family":"Friedland","given":"Leonard R.","non-dropping-particle":"","parse-names":false,"suffix":""}],"container-title":"Pediatrics","id":"ITEM-1","issued":{"date-parts":[["2006"]]},"title":"Acellular pertussis vaccine booster combined with diphtheria and tetanus toxoids for adolescents","type":"article-journal"},"uris":["http://www.mendeley.com/documents/?uuid=d3431a10-3ef5-465b-bfa9-b0ec3f2973e0"]}],"mendeley":{"formattedCitation":"&lt;sup&gt;22&lt;/sup&gt;","plainTextFormattedCitation":"22","previouslyFormattedCitation":"&lt;sup&gt;22&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22</w:t>
      </w:r>
      <w:r w:rsidR="00547456">
        <w:rPr>
          <w:rFonts w:ascii="Times New Roman" w:hAnsi="Times New Roman" w:cs="Times New Roman"/>
          <w:color w:val="000000" w:themeColor="text1"/>
          <w:sz w:val="24"/>
          <w:szCs w:val="24"/>
        </w:rPr>
        <w:fldChar w:fldCharType="end"/>
      </w:r>
      <w:r w:rsidR="00F416BE">
        <w:rPr>
          <w:rFonts w:ascii="Times New Roman" w:hAnsi="Times New Roman" w:cs="Times New Roman"/>
          <w:color w:val="000000" w:themeColor="text1"/>
          <w:sz w:val="24"/>
          <w:szCs w:val="24"/>
        </w:rPr>
        <w:t xml:space="preserve"> </w:t>
      </w:r>
    </w:p>
    <w:p w14:paraId="2A0239A2" w14:textId="595CF18F" w:rsidR="00F151C2" w:rsidRDefault="00F416BE" w:rsidP="001A1360">
      <w:pPr>
        <w:spacing w:line="36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Another result of this study</w:t>
      </w:r>
      <w:r w:rsidR="001A136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w:t>
      </w:r>
      <w:r w:rsidR="001A1360">
        <w:rPr>
          <w:rFonts w:ascii="Times New Roman" w:hAnsi="Times New Roman" w:cs="Times New Roman"/>
          <w:color w:val="000000" w:themeColor="text1"/>
          <w:sz w:val="24"/>
          <w:szCs w:val="24"/>
        </w:rPr>
        <w:t>as</w:t>
      </w:r>
      <w:r>
        <w:rPr>
          <w:rFonts w:ascii="Times New Roman" w:hAnsi="Times New Roman" w:cs="Times New Roman"/>
          <w:color w:val="000000" w:themeColor="text1"/>
          <w:sz w:val="24"/>
          <w:szCs w:val="24"/>
        </w:rPr>
        <w:t xml:space="preserve"> also obtained from 162 people who became the target population only 44 people who are willing to get vaccinated with a variety of reasons for refusal. Most causes the subject refused to be vaccinated </w:t>
      </w:r>
      <w:r w:rsidR="001A1360">
        <w:rPr>
          <w:rFonts w:ascii="Times New Roman" w:hAnsi="Times New Roman" w:cs="Times New Roman"/>
          <w:color w:val="000000" w:themeColor="text1"/>
          <w:sz w:val="24"/>
          <w:szCs w:val="24"/>
        </w:rPr>
        <w:t>because of fear of</w:t>
      </w:r>
      <w:r>
        <w:rPr>
          <w:rFonts w:ascii="Times New Roman" w:hAnsi="Times New Roman" w:cs="Times New Roman"/>
          <w:color w:val="000000" w:themeColor="text1"/>
          <w:sz w:val="24"/>
          <w:szCs w:val="24"/>
        </w:rPr>
        <w:t xml:space="preserve"> side effects that occurred after immunization, is</w:t>
      </w:r>
      <w:r w:rsidR="001A1360">
        <w:rPr>
          <w:rFonts w:ascii="Times New Roman" w:hAnsi="Times New Roman" w:cs="Times New Roman"/>
          <w:color w:val="000000" w:themeColor="text1"/>
          <w:sz w:val="24"/>
          <w:szCs w:val="24"/>
        </w:rPr>
        <w:t>, of course,</w:t>
      </w:r>
      <w:r>
        <w:rPr>
          <w:rFonts w:ascii="Times New Roman" w:hAnsi="Times New Roman" w:cs="Times New Roman"/>
          <w:color w:val="000000" w:themeColor="text1"/>
          <w:sz w:val="24"/>
          <w:szCs w:val="24"/>
        </w:rPr>
        <w:t xml:space="preserve"> a sad thing because the target population is a force that works in the medical field that need</w:t>
      </w:r>
      <w:r w:rsidR="001A1360">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to be improved education about safety and the importance of vaccination. Leslie R et al</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{"citationItems":[{"id":"ITEM-1","itemData":{"DOI":"10.1007/s12160-017-9888-y","ISSN":"08836612","abstract":"Background Anti-vaccination attitudes are important predic-tors of vaccination behavior. Existing measures of vaccination attitudes focus on specific age groups and/or particular vac-cines; a more comprehensive measure would facilitate com-parisons across studies. Purpose The aim of this study was to develop a short measure of general vaccination attitudes and establish its reliability and validity. Methods Two studies were conducted using the VAX scale. For Study 1, participants were 409 individuals (53% female), with a mean age of 34.5 years. For Study 2, participants were 92 individuals (67% female) with a mean age of 28.6. Participants answered paper-and-pencil questions about their attitudes toward vaccines, prior and expected-future vaccina-tion behaviors, perceived sensitivity to medicines, online be-havior, and basic demographic information. Exploratory and confirmatory factor analyses were conducted with correlations and t tests then used to assess the scale's reliability and validity. Results Four distinct but correlated vaccine attitudes were identified: (1) mistrust of vaccine benefit, (2) worries about unforeseen future effects, (3) concerns about commercial profiteering, and (4) preference for natural immunity. These factors were significantly related to prior vaccination behav-ior, future intentions to obtain recommended vaccinations, perceived sensitivity to medicines, and the tendency to obtain health information online. Conclusions The VAX scale provides an efficient method for identifying those with vaccination resistance, and the four subscales enable a more nuanced understanding of the nature of those views. It should be noted, however, that the strong correlations amongst the four subscales suggest that interven-tions should target all four attitude areas, and it remains to be seen whether differential emphasis across the four areas is warranted.","author":[{"dropping-particle":"","family":"Martin","given":"Leslie R.","non-dropping-particle":"","parse-names":false,"suffix":""},{"dropping-particle":"","family":"Petrie","given":"Keith J.","non-dropping-particle":"","parse-names":false,"suffix":""}],"container-title":"Annals of Behavioral Medicine","id":"ITEM-1","issued":{"date-parts":[["2017"]]},"title":"Understanding the Dimensions of Anti-Vaccination Attitudes: the Vaccination Attitudes Examination (VAX) Scale","type":"article-journal"},"uris":["http://www.mendeley.com/documents/?uuid=0b7e8a64-1b33-413e-9c03-9507ae49f5f8"]}],"mendeley":{"formattedCitation":"&lt;sup&gt;28&lt;/sup&gt;","plainTextFormattedCitation":"28","previouslyFormattedCitation":"&lt;sup&gt;28&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28</w:t>
      </w:r>
      <w:r w:rsidR="00547456">
        <w:rPr>
          <w:rFonts w:ascii="Times New Roman" w:hAnsi="Times New Roman" w:cs="Times New Roman"/>
          <w:color w:val="000000" w:themeColor="text1"/>
          <w:sz w:val="24"/>
          <w:szCs w:val="24"/>
        </w:rPr>
        <w:fldChar w:fldCharType="end"/>
      </w:r>
      <w:r w:rsidR="001A1360">
        <w:rPr>
          <w:rFonts w:ascii="Times New Roman" w:hAnsi="Times New Roman" w:cs="Times New Roman"/>
          <w:color w:val="000000" w:themeColor="text1"/>
          <w:sz w:val="24"/>
          <w:szCs w:val="24"/>
        </w:rPr>
        <w:t xml:space="preserve"> </w:t>
      </w:r>
      <w:r w:rsidR="00F151C2">
        <w:rPr>
          <w:rFonts w:ascii="Times New Roman" w:hAnsi="Times New Roman" w:cs="Times New Roman"/>
          <w:color w:val="000000" w:themeColor="text1"/>
          <w:sz w:val="24"/>
          <w:szCs w:val="24"/>
        </w:rPr>
        <w:t>of research concludes about anti</w:t>
      </w:r>
      <w:r w:rsidR="001A1360">
        <w:rPr>
          <w:rFonts w:ascii="Times New Roman" w:hAnsi="Times New Roman" w:cs="Times New Roman"/>
          <w:color w:val="000000" w:themeColor="text1"/>
          <w:sz w:val="24"/>
          <w:szCs w:val="24"/>
        </w:rPr>
        <w:t xml:space="preserve">vaccine  </w:t>
      </w:r>
      <w:r w:rsidR="00F151C2">
        <w:rPr>
          <w:rFonts w:ascii="Times New Roman" w:hAnsi="Times New Roman" w:cs="Times New Roman"/>
          <w:color w:val="000000" w:themeColor="text1"/>
          <w:sz w:val="24"/>
          <w:szCs w:val="24"/>
        </w:rPr>
        <w:t>there are 4 things associated with the onset of such behavior is not belief in the benefits of the vaccine, fear of side effects of vaccines in the future, thinking about the commercial advantages of the vaccine manufacturer, opted for the immune system naturally. Various efforts can be made to lower the antiva</w:t>
      </w:r>
      <w:r w:rsidR="001A1360">
        <w:rPr>
          <w:rFonts w:ascii="Times New Roman" w:hAnsi="Times New Roman" w:cs="Times New Roman"/>
          <w:color w:val="000000" w:themeColor="text1"/>
          <w:sz w:val="24"/>
          <w:szCs w:val="24"/>
        </w:rPr>
        <w:t>ccine</w:t>
      </w:r>
      <w:r w:rsidR="00F151C2">
        <w:rPr>
          <w:rFonts w:ascii="Times New Roman" w:hAnsi="Times New Roman" w:cs="Times New Roman"/>
          <w:color w:val="000000" w:themeColor="text1"/>
          <w:sz w:val="24"/>
          <w:szCs w:val="24"/>
        </w:rPr>
        <w:t xml:space="preserve"> behavior with good communication, motivational interviewing methods, explanation </w:t>
      </w:r>
      <w:r w:rsidR="00F151C2">
        <w:rPr>
          <w:rFonts w:ascii="Times New Roman" w:hAnsi="Times New Roman" w:cs="Times New Roman"/>
          <w:color w:val="000000" w:themeColor="text1"/>
          <w:sz w:val="24"/>
          <w:szCs w:val="24"/>
        </w:rPr>
        <w:lastRenderedPageBreak/>
        <w:t>of terminology in both approaches in cultures and personal approach someone who fits with studies that have been conducted by Bedford H et al</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{"citationItems":[{"id":"ITEM-1","itemData":{"DOI":"10.1016/j.vaccine.2017.08.004","ISSN":"18732518","abstract":"Although vaccination uptake is high in most countries, pockets of sub-optimal coverage remain posing a threat to individual and population immunity. Increasingly, the term ‘vaccine hesitancy’ is being used by experts and commentators to explain sub-optimal vaccination coverage. We contend that using this term to explain all partial or non-immunisation risks generating solutions that are a poor match for the problem in a particular community or population. We propose more precision in the term ‘vaccine hesitancy’ is needed particularly since much under-vaccination arises from factors related to access or pragmatics. Only with clear terminology can we begin to understand where the problem lies, measure it accurately and develop appropriate interventions. This will ensure that our interventions have the best chance of success to make vaccines available to those who want them and in helping those who are uncertain about their vaccination decision.","author":[{"dropping-particle":"","family":"Bedford","given":"Helen","non-dropping-particle":"","parse-names":false,"suffix":""},{"dropping-particle":"","family":"Attwell","given":"Katie","non-dropping-particle":"","parse-names":false,"suffix":""},{"dropping-particle":"","family":"Danchin","given":"Margie","non-dropping-particle":"","parse-names":false,"suffix":""},{"dropping-particle":"","family":"Marshall","given":"Helen","non-dropping-particle":"","parse-names":false,"suffix":""},{"dropping-particle":"","family":"Corben","given":"Paul","non-dropping-particle":"","parse-names":false,"suffix":""},{"dropping-particle":"","family":"Leask","given":"Julie","non-dropping-particle":"","parse-names":false,"suffix":""}],"container-title":"Vaccine","id":"ITEM-1","issued":{"date-parts":[["2018"]]},"title":"Vaccine hesitancy, refusal and access barriers: The need for clarity in terminology","type":"article-journal"},"uris":["http://www.mendeley.com/documents/?uuid=99d2dcbb-1fc8-4e93-b467-3a284500c504"]}],"mendeley":{"formattedCitation":"&lt;sup&gt;29&lt;/sup&gt;","plainTextFormattedCitation":"29","previouslyFormattedCitation":"&lt;sup&gt;29&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29</w:t>
      </w:r>
      <w:r w:rsidR="00547456">
        <w:rPr>
          <w:rFonts w:ascii="Times New Roman" w:hAnsi="Times New Roman" w:cs="Times New Roman"/>
          <w:color w:val="000000" w:themeColor="text1"/>
          <w:sz w:val="24"/>
          <w:szCs w:val="24"/>
        </w:rPr>
        <w:fldChar w:fldCharType="end"/>
      </w:r>
      <w:r w:rsidR="000B0BDB">
        <w:rPr>
          <w:rFonts w:ascii="Times New Roman" w:hAnsi="Times New Roman" w:cs="Times New Roman"/>
          <w:color w:val="000000" w:themeColor="text1"/>
          <w:sz w:val="24"/>
          <w:szCs w:val="24"/>
        </w:rPr>
        <w:t>, Gagneur A et al</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{"citationItems":[{"id":"ITEM-1","itemData":{"DOI":"10.1016/j.vaccine.2017.10.049","ISSN":"18732518","abstract":"In most countries, there is an increase in the proportion of parents who refuse some, many or all vaccines or who adopt a delayed vaccination schedule, regardless of the availability of vaccination services. According to the World Health Organization (WHO), this phenomenon, called “vaccine hesitancy” (VH), is a growing issue that needs to be measured and addressed [1].","author":[{"dropping-particle":"","family":"Gagneur","given":"Arnaud","non-dropping-particle":"","parse-names":false,"suffix":""},{"dropping-particle":"","family":"Gosselin","given":"Virginie","non-dropping-particle":"","parse-names":false,"suffix":""},{"dropping-particle":"","family":"Dubé","given":"Ève","non-dropping-particle":"","parse-names":false,"suffix":""}],"container-title":"Vaccine","id":"ITEM-1","issued":{"date-parts":[["2018"]]},"title":"Motivational interviewing: A promising tool to address vaccine hesitancy","type":"article"},"uris":["http://www.mendeley.com/documents/?uuid=3116d4de-2ca0-4ca2-8756-e9a6e1fcd2ca"]}],"mendeley":{"formattedCitation":"&lt;sup&gt;30&lt;/sup&gt;","plainTextFormattedCitation":"30","previouslyFormattedCitation":"&lt;sup&gt;30&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30</w:t>
      </w:r>
      <w:r w:rsidR="00547456">
        <w:rPr>
          <w:rFonts w:ascii="Times New Roman" w:hAnsi="Times New Roman" w:cs="Times New Roman"/>
          <w:color w:val="000000" w:themeColor="text1"/>
          <w:sz w:val="24"/>
          <w:szCs w:val="24"/>
        </w:rPr>
        <w:fldChar w:fldCharType="end"/>
      </w:r>
      <w:r w:rsidR="007D550E">
        <w:rPr>
          <w:rFonts w:ascii="Times New Roman" w:hAnsi="Times New Roman" w:cs="Times New Roman"/>
          <w:color w:val="000000" w:themeColor="text1"/>
          <w:sz w:val="24"/>
          <w:szCs w:val="24"/>
        </w:rPr>
        <w:t>And Paris-SPROWL J</w:t>
      </w:r>
      <w:r w:rsidR="00547456">
        <w:rPr>
          <w:rFonts w:ascii="Times New Roman" w:hAnsi="Times New Roman" w:cs="Times New Roman"/>
          <w:color w:val="000000" w:themeColor="text1"/>
          <w:sz w:val="24"/>
          <w:szCs w:val="24"/>
        </w:rPr>
        <w:fldChar w:fldCharType="begin" w:fldLock="1"/>
      </w:r>
      <w:r w:rsidR="00547456">
        <w:rPr>
          <w:rFonts w:ascii="Times New Roman" w:hAnsi="Times New Roman" w:cs="Times New Roman"/>
          <w:color w:val="000000" w:themeColor="text1"/>
          <w:sz w:val="24"/>
          <w:szCs w:val="24"/>
        </w:rPr>
        <w:instrText>ADDIN CSL_CITATION {"citationItems":[{"id":"ITEM-1","itemData":{"DOI":"10.1016/j.vaccine.2017.09.064","ISSN":"18732518","abstract":"The evidence base for vaccine hesitancy communication is generally confined to research focused on the content of the message rather than the process of communication. This has important consequences, because shifting focus to encompass the process of communicating, and not just on the content of content message being conveyed; opens the possibility of greater insight and understanding regarding the conversation health care workers have with those who are vaccine hesitant, creating increased chances of acceptance.","author":[{"dropping-particle":"","family":"Parrish-Sprowl","given":"John","non-dropping-particle":"","parse-names":false,"suffix":""}],"container-title":"Vaccine","id":"ITEM-1","issued":{"date-parts":[["2018"]]},"title":"Vaccine hesitancy communication: What counts as evidence","type":"article-journal"},"uris":["http://www.mendeley.com/documents/?uuid=496c64e9-5b40-484d-b231-34554bd6b592"]}],"mendeley":{"formattedCitation":"&lt;sup&gt;31&lt;/sup&gt;","plainTextFormattedCitation":"31","previouslyFormattedCitation":"&lt;sup&gt;31&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31</w:t>
      </w:r>
      <w:r w:rsidR="00547456">
        <w:rPr>
          <w:rFonts w:ascii="Times New Roman" w:hAnsi="Times New Roman" w:cs="Times New Roman"/>
          <w:color w:val="000000" w:themeColor="text1"/>
          <w:sz w:val="24"/>
          <w:szCs w:val="24"/>
        </w:rPr>
        <w:fldChar w:fldCharType="end"/>
      </w:r>
      <w:r w:rsidR="007D550E">
        <w:rPr>
          <w:rFonts w:ascii="Times New Roman" w:hAnsi="Times New Roman" w:cs="Times New Roman"/>
          <w:color w:val="000000" w:themeColor="text1"/>
          <w:sz w:val="24"/>
          <w:szCs w:val="24"/>
        </w:rPr>
        <w:t xml:space="preserve">, </w:t>
      </w:r>
    </w:p>
    <w:p w14:paraId="44A1463A" w14:textId="691E5AAD" w:rsidR="00FE04B8" w:rsidRDefault="00F416BE" w:rsidP="00875E69">
      <w:pPr>
        <w:spacing w:line="360" w:lineRule="auto"/>
        <w:ind w:firstLine="72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Keeping a person has a high level of immunity against diphtheria always required immunizations continuous from infancy. The primary immunization against neonatal tetanus in infants will give </w:t>
      </w:r>
      <w:r w:rsidR="001A1360">
        <w:rPr>
          <w:rFonts w:ascii="Times New Roman" w:hAnsi="Times New Roman" w:cs="Times New Roman"/>
          <w:color w:val="000000" w:themeColor="text1"/>
          <w:sz w:val="24"/>
          <w:szCs w:val="24"/>
        </w:rPr>
        <w:t>immunity</w:t>
      </w:r>
      <w:r>
        <w:rPr>
          <w:rFonts w:ascii="Times New Roman" w:hAnsi="Times New Roman" w:cs="Times New Roman"/>
          <w:color w:val="000000" w:themeColor="text1"/>
          <w:sz w:val="24"/>
          <w:szCs w:val="24"/>
        </w:rPr>
        <w:t xml:space="preserve"> 94-100% for 1-3 years.</w:t>
      </w:r>
      <w:r w:rsidR="00547456">
        <w:rPr>
          <w:rFonts w:ascii="Times New Roman" w:hAnsi="Times New Roman" w:cs="Times New Roman"/>
          <w:color w:val="000000" w:themeColor="text1"/>
          <w:sz w:val="24"/>
          <w:szCs w:val="24"/>
        </w:rPr>
        <w:fldChar w:fldCharType="begin" w:fldLock="1"/>
      </w:r>
      <w:r w:rsidR="0079086B">
        <w:rPr>
          <w:rFonts w:ascii="Times New Roman" w:hAnsi="Times New Roman" w:cs="Times New Roman"/>
          <w:color w:val="000000" w:themeColor="text1"/>
          <w:sz w:val="24"/>
          <w:szCs w:val="24"/>
        </w:rPr>
        <w:instrText>ADDIN CSL_CITATION {"citationItems":[{"id":"ITEM-1","itemData":{"abstract":"Imunisasi difteria, pertusis dan tetanus (DPT) telah lama masuk ke dalam program imunisasi nasional di Indonesia dan telah terbukti menurunkan angka kejadian maupun kematian yang disebabkan penyakit difteria, pertusis dan tetanus. Tujuan penelitian ini untuk melakukan evaluasi status kekebalan dan faktor keamanan terhadap penyakit difteria dan tetanus pada bayi yang mendapat imunisasi dasar DPT. Seratus enam puluh subjek bayi sehat yang dipilih secara random, dilakukan imunisasi secara intramuskular dengan dosis 0,5 ml sebanyak 3 kali pada umur 2, 3 dan 4 bulan, menggunakan vaksin DPT buatan PT. Bio-Farma Bandung. Penentuan titer antibodi difteria dan tetanus dilakukan sebelum dilakukan imunisasi dan 1 bulan setelah imunisasi ke-1, 2 dan 3, menggunakan metode ELISA. Apabila hasilnya &lt; 0,01 IU/ml disebut kelompok rentan dan bila &gt; 0,1 IU/ml disebut mempunyai kekebalan lengkap. Kejadian reaksi lokal (nyeri, kemerahan, bengkak, penebalan) dan sistemik (demam, iritabilitas) pasca imunisasi dicatat dalam buku catatan harian ibu. Hasil penelitian menunjukkan sebelum dilakukan imunisasi 57% subjek sudah tidak mempunyai perlindungan terhadap difteri dan 6% sudah tidak mempunyai perlindungan terhadap tetanus. Terhadap difteria, rata-rata geometrik titer (GMT) sebelum dan setelah mendapat imunisasi ke-1, 2 dan 3, memberikan hasil berturut-turut 0,008; 0,005; 0,038; dan 0,217 IU/ml; sedang jumlah subjek yang mempunyai titer &gt; 0,01 IU/ml berturut-turut adalah 44, 28, 44 dan 80%. Terhadap tetanus, rata-rata geometrik titer (GMT) sebelum dan setelah mendapat imunisasi ke-1, 2 dan 3, memberikan hasil berturut-turut: 0,420; 0,273; 0,213; dan 0,758 IU/ml; jumlah subjek yang mempunyai titer &gt; 0,01 IU/ml berturtut-turut adalah 94; 91; 100 dan 100%. Selama periode penelitian tidak ditemukan adanya reaksi vaksin berat. Reaksi lokal (nyeri, kemerahan, bengkak dan penebalan) dan reaksi sistemik (iritabilitas dan panas) sebagian besar dengan derajat ringan yang selanjutnya menghilang tanpa gejala sisa. Walaupun imunisasi DPT memberikan hasil kekebalan yang tinggi dan aman diberikan, namun pada kelompok yang masih rentan perlu mendapat perhatian. metode ELISA. Apabila hasilnya &lt; 0,01 IU/ml disebut kelompok rentan dan bila &gt; 0,1 IU/ml disebut mempunyai kekebalan lengkap. Kejadian reaksi lokal (nyeri, kemerahan, bengkak, penebalan) dan sistemik (demam, iritabilitas) pasca imunisasi dicatat dalam buku catatan harian ibu. Hasil penelitian menunjukkan sebelum dilakukan imunisasi 57%…","author":[{"dropping-particle":"","family":"Fadlyana E, Tanuwidjaja S, Rusmi Kl, Dhamayanti M, Soemara LH","given":"Dharmayanti R","non-dropping-particle":"","parse-names":false,"suffix":""}],"container-title":"Sari Pediatri, Vol. 4, No. 3, Desember 2002 Sari Pediatri,","id":"ITEM-1","issued":{"date-parts":[["2002"]]},"title":"Imunogenitas dan K eamanan V aksin DPT S etelah I munisasi D asar","type":"article-journal"},"uris":["http://www.mendeley.com/documents/?uuid=02930051-0c47-4cf7-96ae-b88dc5464376"]},{"id":"ITEM-2","itemData":{"ISSN":"00314005","abstract":"Parents from four practices were surveyed to ascertain reactions of children to diphtheria-pertussis-tetanus (DPT) vaccine in the 48 hours after immunization. Vaccines were administered according to current recommendations. Responses were scored in three categories: temperature, behavioral changes, and local reactions. Questionnaires were returned by 1,232 (84.9%) patients. Only 7.0% reported no reaction, while 336 (27.3%) reported mild, 722 (58.6%) moderate, and 88 (7.1%) severe reactions. Over 50% experienced temperatures of at least 100 F, and 80% noted behavioral changes; 72.2% had local reactions. No encephalitis, seizures, or hospitalizations were reported. Reactogenicity was similar for the five immunizations of the recommended series and the two manufacturers evaluated. Reported reactions in the control group were significantly lower than in the study group. These reaction rates underline the need to reevaluate present DPT vaccines.","author":[{"dropping-particle":"","family":"Barkin","given":"R. M.","non-dropping-particle":"","parse-names":false,"suffix":""},{"dropping-particle":"","family":"Pichichero","given":"M. E.","non-dropping-particle":"","parse-names":false,"suffix":""}],"container-title":"Pediatrics","id":"ITEM-2","issued":{"date-parts":[["1979"]]},"title":"Diphtheria pertussis tetanus vaccine: Reactogenicity of commercial products","type":"article-journal"},"uris":["http://www.mendeley.com/documents/?uuid=fca58d94-55d9-48cd-bb21-7c30c1326a53"]}],"mendeley":{"formattedCitation":"&lt;sup&gt;23,27&lt;/sup&gt;","plainTextFormattedCitation":"23,27","previouslyFormattedCitation":"&lt;sup&gt;23,27&lt;/sup&gt;"},"properties":{"noteIndex":0},"schema":"https://github.com/citation-style-language/schema/raw/master/csl-citation.json"}</w:instrText>
      </w:r>
      <w:r w:rsidR="00547456">
        <w:rPr>
          <w:rFonts w:ascii="Times New Roman" w:hAnsi="Times New Roman" w:cs="Times New Roman"/>
          <w:color w:val="000000" w:themeColor="text1"/>
          <w:sz w:val="24"/>
          <w:szCs w:val="24"/>
        </w:rPr>
        <w:fldChar w:fldCharType="separate"/>
      </w:r>
      <w:r w:rsidR="00547456" w:rsidRPr="00547456">
        <w:rPr>
          <w:rFonts w:ascii="Times New Roman" w:hAnsi="Times New Roman" w:cs="Times New Roman"/>
          <w:noProof/>
          <w:color w:val="000000" w:themeColor="text1"/>
          <w:sz w:val="24"/>
          <w:szCs w:val="24"/>
          <w:vertAlign w:val="superscript"/>
        </w:rPr>
        <w:t>23.27</w:t>
      </w:r>
      <w:r w:rsidR="00547456">
        <w:rPr>
          <w:rFonts w:ascii="Times New Roman" w:hAnsi="Times New Roman" w:cs="Times New Roman"/>
          <w:color w:val="000000" w:themeColor="text1"/>
          <w:sz w:val="24"/>
          <w:szCs w:val="24"/>
        </w:rPr>
        <w:fldChar w:fldCharType="end"/>
      </w:r>
      <w:r w:rsidR="001A1360">
        <w:rPr>
          <w:rFonts w:ascii="Times New Roman" w:hAnsi="Times New Roman" w:cs="Times New Roman"/>
          <w:color w:val="000000" w:themeColor="text1"/>
          <w:sz w:val="24"/>
          <w:szCs w:val="24"/>
        </w:rPr>
        <w:t xml:space="preserve"> </w:t>
      </w:r>
      <w:r w:rsidR="003064E0">
        <w:rPr>
          <w:rFonts w:ascii="Times New Roman" w:hAnsi="Times New Roman" w:cs="Times New Roman"/>
          <w:color w:val="000000" w:themeColor="text1"/>
          <w:sz w:val="24"/>
          <w:szCs w:val="24"/>
        </w:rPr>
        <w:t>Repeated immunization (booster) / 4th dose will provide additional immunity for 5 years, until the age of 6-7 years. 5th dose of tetanus toxoid vaccine given by Td or DT at the time of school entry will provide additional immunity for 10 years, the age group 17-18 years. Additional dosing time will leave school would provide sufficient immunity to at least 20 years.</w:t>
      </w:r>
      <w:r w:rsidR="0079086B">
        <w:rPr>
          <w:rFonts w:ascii="Times New Roman" w:hAnsi="Times New Roman" w:cs="Times New Roman"/>
          <w:color w:val="000000" w:themeColor="text1"/>
          <w:sz w:val="24"/>
          <w:szCs w:val="24"/>
        </w:rPr>
        <w:fldChar w:fldCharType="begin" w:fldLock="1"/>
      </w:r>
      <w:r w:rsidR="0079086B">
        <w:rPr>
          <w:rFonts w:ascii="Times New Roman" w:hAnsi="Times New Roman" w:cs="Times New Roman"/>
          <w:color w:val="000000" w:themeColor="text1"/>
          <w:sz w:val="24"/>
          <w:szCs w:val="24"/>
        </w:rPr>
        <w:instrText>ADDIN CSL_CITATION {"citationItems":[{"id":"ITEM-1","itemData":{"author":[{"dropping-particle":"","family":"Indonesia","given":"","non-dropping-particle":"","parse-names":false,"suffix":""},{"dropping-particle":"","family":"Departemen Kesehatan R.I","given":"","non-dropping-particle":"","parse-names":false,"suffix":""}],"id":"ITEM-1","issued":{"date-parts":[["1998"]]},"title":"Petunjuk Teknis Bulan Imunisasi Anak Sekolah 'BIAS' : Bagi Pengelola Program","type":"book"},"uris":["http://www.mendeley.com/documents/?uuid=8e27ad78-59aa-4be2-af04-93b020ba3ad0"]}],"mendeley":{"formattedCitation":"&lt;sup&gt;14&lt;/sup&gt;","plainTextFormattedCitation":"14","previouslyFormattedCitation":"&lt;sup&gt;14&lt;/sup&gt;"},"properties":{"noteIndex":0},"schema":"https://github.com/citation-style-language/schema/raw/master/csl-citation.json"}</w:instrText>
      </w:r>
      <w:r w:rsidR="0079086B">
        <w:rPr>
          <w:rFonts w:ascii="Times New Roman" w:hAnsi="Times New Roman" w:cs="Times New Roman"/>
          <w:color w:val="000000" w:themeColor="text1"/>
          <w:sz w:val="24"/>
          <w:szCs w:val="24"/>
        </w:rPr>
        <w:fldChar w:fldCharType="separate"/>
      </w:r>
      <w:r w:rsidR="0079086B" w:rsidRPr="0079086B">
        <w:rPr>
          <w:rFonts w:ascii="Times New Roman" w:hAnsi="Times New Roman" w:cs="Times New Roman"/>
          <w:noProof/>
          <w:color w:val="000000" w:themeColor="text1"/>
          <w:sz w:val="24"/>
          <w:szCs w:val="24"/>
          <w:vertAlign w:val="superscript"/>
        </w:rPr>
        <w:t>14</w:t>
      </w:r>
      <w:r w:rsidR="0079086B">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In Indonesia, there is still no data degree of protection against diphtheria at age 15-18 months and in adults as well as an immune response after repeated immunization in both groups prior to this study. It can be concluded that the re-Td immunization provides protective antibody tit</w:t>
      </w:r>
      <w:r w:rsidR="001A1360">
        <w:rPr>
          <w:rFonts w:ascii="Times New Roman" w:hAnsi="Times New Roman" w:cs="Times New Roman"/>
          <w:color w:val="000000" w:themeColor="text1"/>
          <w:sz w:val="24"/>
          <w:szCs w:val="24"/>
        </w:rPr>
        <w:t>er</w:t>
      </w:r>
      <w:r>
        <w:rPr>
          <w:rFonts w:ascii="Times New Roman" w:hAnsi="Times New Roman" w:cs="Times New Roman"/>
          <w:color w:val="000000" w:themeColor="text1"/>
          <w:sz w:val="24"/>
          <w:szCs w:val="24"/>
        </w:rPr>
        <w:t>s against diphtheria, as well as safe in adults. It is time for re-</w:t>
      </w:r>
      <w:r w:rsidR="001A1360">
        <w:rPr>
          <w:rFonts w:ascii="Times New Roman" w:hAnsi="Times New Roman" w:cs="Times New Roman"/>
          <w:color w:val="000000" w:themeColor="text1"/>
          <w:sz w:val="24"/>
          <w:szCs w:val="24"/>
        </w:rPr>
        <w:t xml:space="preserve">immunization </w:t>
      </w:r>
      <w:proofErr w:type="gramStart"/>
      <w:r>
        <w:rPr>
          <w:rFonts w:ascii="Times New Roman" w:hAnsi="Times New Roman" w:cs="Times New Roman"/>
          <w:color w:val="000000" w:themeColor="text1"/>
          <w:sz w:val="24"/>
          <w:szCs w:val="24"/>
        </w:rPr>
        <w:t>Td  in</w:t>
      </w:r>
      <w:proofErr w:type="gramEnd"/>
      <w:r>
        <w:rPr>
          <w:rFonts w:ascii="Times New Roman" w:hAnsi="Times New Roman" w:cs="Times New Roman"/>
          <w:color w:val="000000" w:themeColor="text1"/>
          <w:sz w:val="24"/>
          <w:szCs w:val="24"/>
        </w:rPr>
        <w:t xml:space="preserve"> adulthood into national programs, the fears of a reemerging disease can be prevented.</w:t>
      </w:r>
    </w:p>
    <w:p w14:paraId="2BD9D75F" w14:textId="7E23F5FF" w:rsidR="005D2718" w:rsidRPr="00FE04B8" w:rsidRDefault="005D2718" w:rsidP="00875E6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study has limitations that past immunization history data is based on interviews with subjects and in general do not know in detail when getting immunizations and had not had immunization cards (Card Towards Healthy).</w:t>
      </w:r>
    </w:p>
    <w:p w14:paraId="6FE1A961" w14:textId="6A1C7881" w:rsidR="00D24F78" w:rsidRDefault="00D24F78" w:rsidP="00875E69">
      <w:pPr>
        <w:spacing w:line="360" w:lineRule="auto"/>
        <w:jc w:val="both"/>
        <w:rPr>
          <w:rFonts w:ascii="Times New Roman" w:hAnsi="Times New Roman" w:cs="Times New Roman"/>
          <w:sz w:val="24"/>
          <w:szCs w:val="24"/>
        </w:rPr>
      </w:pPr>
    </w:p>
    <w:p w14:paraId="6147DCBB" w14:textId="77777777" w:rsidR="00D24F78" w:rsidRDefault="00D24F78" w:rsidP="00875E69">
      <w:pPr>
        <w:spacing w:line="360" w:lineRule="auto"/>
        <w:jc w:val="both"/>
        <w:rPr>
          <w:rFonts w:ascii="Times New Roman" w:hAnsi="Times New Roman" w:cs="Times New Roman"/>
          <w:sz w:val="24"/>
          <w:szCs w:val="24"/>
        </w:rPr>
      </w:pPr>
    </w:p>
    <w:p w14:paraId="5EBD1469" w14:textId="77777777" w:rsidR="00FE04B8" w:rsidRDefault="00FE04B8" w:rsidP="00875E69">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4863707C" w14:textId="4C897E15" w:rsidR="005D2718" w:rsidRDefault="00FE04B8" w:rsidP="00875E6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study concluded that </w:t>
      </w:r>
      <w:r w:rsidR="001A1360">
        <w:rPr>
          <w:rFonts w:ascii="Times New Roman" w:hAnsi="Times New Roman" w:cs="Times New Roman"/>
          <w:sz w:val="24"/>
          <w:szCs w:val="24"/>
        </w:rPr>
        <w:t xml:space="preserve">the </w:t>
      </w:r>
      <w:r>
        <w:rPr>
          <w:rFonts w:ascii="Times New Roman" w:hAnsi="Times New Roman" w:cs="Times New Roman"/>
          <w:sz w:val="24"/>
          <w:szCs w:val="24"/>
        </w:rPr>
        <w:t>administration of Td immunization in adulthood can increase a person's protection against diphtheria seen from the increased levels of antibodies against diphtheria toxin and secure Td immunization in the adult population.</w:t>
      </w:r>
    </w:p>
    <w:bookmarkEnd w:id="1"/>
    <w:p w14:paraId="78561DC3" w14:textId="77777777" w:rsidR="00FE04B8" w:rsidRDefault="00FE04B8" w:rsidP="00875E69">
      <w:pPr>
        <w:pStyle w:val="BAB"/>
        <w:contextualSpacing/>
        <w:jc w:val="left"/>
        <w:outlineLvl w:val="0"/>
        <w:rPr>
          <w:color w:val="000000" w:themeColor="text1"/>
        </w:rPr>
      </w:pPr>
    </w:p>
    <w:p w14:paraId="4E81981B" w14:textId="35AAE669" w:rsidR="005B4750" w:rsidRPr="00715EF9" w:rsidRDefault="003D03C5" w:rsidP="00875E69">
      <w:pPr>
        <w:pStyle w:val="BAB"/>
        <w:contextualSpacing/>
        <w:jc w:val="left"/>
        <w:outlineLvl w:val="0"/>
        <w:rPr>
          <w:color w:val="000000" w:themeColor="text1"/>
        </w:rPr>
      </w:pPr>
      <w:r w:rsidRPr="00715EF9">
        <w:rPr>
          <w:color w:val="000000" w:themeColor="text1"/>
        </w:rPr>
        <w:t>BIBLIOGRAPHY</w:t>
      </w:r>
    </w:p>
    <w:p w14:paraId="23C39D56" w14:textId="7C71600F"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Pr>
          <w:rFonts w:ascii="Times New Roman" w:hAnsi="Times New Roman"/>
          <w:color w:val="000000" w:themeColor="text1"/>
          <w:sz w:val="24"/>
          <w:szCs w:val="24"/>
          <w:lang w:val="id-ID"/>
        </w:rPr>
        <w:fldChar w:fldCharType="begin" w:fldLock="1"/>
      </w:r>
      <w:r>
        <w:rPr>
          <w:rFonts w:ascii="Times New Roman" w:hAnsi="Times New Roman"/>
          <w:color w:val="000000" w:themeColor="text1"/>
          <w:sz w:val="24"/>
          <w:szCs w:val="24"/>
          <w:lang w:val="id-ID"/>
        </w:rPr>
        <w:instrText xml:space="preserve">ADDIN Mendeley Bibliography CSL_BIBLIOGRAPHY </w:instrText>
      </w:r>
      <w:r>
        <w:rPr>
          <w:rFonts w:ascii="Times New Roman" w:hAnsi="Times New Roman"/>
          <w:color w:val="000000" w:themeColor="text1"/>
          <w:sz w:val="24"/>
          <w:szCs w:val="24"/>
          <w:lang w:val="id-ID"/>
        </w:rPr>
        <w:fldChar w:fldCharType="separate"/>
      </w:r>
      <w:r w:rsidRPr="0079086B">
        <w:rPr>
          <w:rFonts w:ascii="Times New Roman" w:hAnsi="Times New Roman" w:cs="Times New Roman"/>
          <w:noProof/>
          <w:sz w:val="24"/>
          <w:szCs w:val="24"/>
        </w:rPr>
        <w:t xml:space="preserve">1. </w:t>
      </w:r>
      <w:r w:rsidRPr="0079086B">
        <w:rPr>
          <w:rFonts w:ascii="Times New Roman" w:hAnsi="Times New Roman" w:cs="Times New Roman"/>
          <w:noProof/>
          <w:sz w:val="24"/>
          <w:szCs w:val="24"/>
        </w:rPr>
        <w:tab/>
        <w:t>Gowin E, J Wysocki, Kaluzna E, et al. Ensure protection does vaccination? Assessing diphtheria and tetanus antibody levels in a population of healthy children: A cross-sectional study.</w:t>
      </w:r>
      <w:r w:rsidRPr="0079086B">
        <w:rPr>
          <w:rFonts w:ascii="Times New Roman" w:hAnsi="Times New Roman" w:cs="Times New Roman"/>
          <w:i/>
          <w:iCs/>
          <w:noProof/>
          <w:sz w:val="24"/>
          <w:szCs w:val="24"/>
        </w:rPr>
        <w:t>Med (United States)</w:t>
      </w:r>
      <w:r w:rsidRPr="0079086B">
        <w:rPr>
          <w:rFonts w:ascii="Times New Roman" w:hAnsi="Times New Roman" w:cs="Times New Roman"/>
          <w:noProof/>
          <w:sz w:val="24"/>
          <w:szCs w:val="24"/>
        </w:rPr>
        <w:t>, 2016. doi: 10.1097 / MD.0000000000005571</w:t>
      </w:r>
    </w:p>
    <w:p w14:paraId="2277B6DF"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 </w:t>
      </w:r>
      <w:r w:rsidRPr="0079086B">
        <w:rPr>
          <w:rFonts w:ascii="Times New Roman" w:hAnsi="Times New Roman" w:cs="Times New Roman"/>
          <w:noProof/>
          <w:sz w:val="24"/>
          <w:szCs w:val="24"/>
        </w:rPr>
        <w:tab/>
        <w:t>Directorate of Health Surveillance and Quarantine. Guidelines for Prevention and Control of Diphtheria. 2017.</w:t>
      </w:r>
    </w:p>
    <w:p w14:paraId="65AF5F8D"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3. </w:t>
      </w:r>
      <w:r w:rsidRPr="0079086B">
        <w:rPr>
          <w:rFonts w:ascii="Times New Roman" w:hAnsi="Times New Roman" w:cs="Times New Roman"/>
          <w:noProof/>
          <w:sz w:val="24"/>
          <w:szCs w:val="24"/>
        </w:rPr>
        <w:tab/>
        <w:t xml:space="preserve">Schwartz DA. Emerging and reemerging infections: Progress and challenges in the </w:t>
      </w:r>
      <w:r w:rsidRPr="0079086B">
        <w:rPr>
          <w:rFonts w:ascii="Times New Roman" w:hAnsi="Times New Roman" w:cs="Times New Roman"/>
          <w:noProof/>
          <w:sz w:val="24"/>
          <w:szCs w:val="24"/>
        </w:rPr>
        <w:lastRenderedPageBreak/>
        <w:t>subspecialty of infectious disease pathology.</w:t>
      </w:r>
      <w:r w:rsidRPr="0079086B">
        <w:rPr>
          <w:rFonts w:ascii="Times New Roman" w:hAnsi="Times New Roman" w:cs="Times New Roman"/>
          <w:i/>
          <w:iCs/>
          <w:noProof/>
          <w:sz w:val="24"/>
          <w:szCs w:val="24"/>
        </w:rPr>
        <w:t>Arch Pathol Lab Med</w:t>
      </w:r>
      <w:r w:rsidRPr="0079086B">
        <w:rPr>
          <w:rFonts w:ascii="Times New Roman" w:hAnsi="Times New Roman" w:cs="Times New Roman"/>
          <w:noProof/>
          <w:sz w:val="24"/>
          <w:szCs w:val="24"/>
        </w:rPr>
        <w:t>, 1997.</w:t>
      </w:r>
    </w:p>
    <w:p w14:paraId="13F19C8F"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4. </w:t>
      </w:r>
      <w:r w:rsidRPr="0079086B">
        <w:rPr>
          <w:rFonts w:ascii="Times New Roman" w:hAnsi="Times New Roman" w:cs="Times New Roman"/>
          <w:noProof/>
          <w:sz w:val="24"/>
          <w:szCs w:val="24"/>
        </w:rPr>
        <w:tab/>
        <w:t xml:space="preserve">Vitek CR, Wharton M. diphtheria in the former Soviet Union: reemergence of a pandemic disease. </w:t>
      </w:r>
      <w:r w:rsidRPr="0079086B">
        <w:rPr>
          <w:rFonts w:ascii="Times New Roman" w:hAnsi="Times New Roman" w:cs="Times New Roman"/>
          <w:i/>
          <w:iCs/>
          <w:noProof/>
          <w:sz w:val="24"/>
          <w:szCs w:val="24"/>
        </w:rPr>
        <w:t>Emerg Infect Dis</w:t>
      </w:r>
      <w:r w:rsidRPr="0079086B">
        <w:rPr>
          <w:rFonts w:ascii="Times New Roman" w:hAnsi="Times New Roman" w:cs="Times New Roman"/>
          <w:noProof/>
          <w:sz w:val="24"/>
          <w:szCs w:val="24"/>
        </w:rPr>
        <w:t>, 1998. doi: 10.3201 / eid0404.980404</w:t>
      </w:r>
    </w:p>
    <w:p w14:paraId="370FE8D9"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5. </w:t>
      </w:r>
      <w:r w:rsidRPr="0079086B">
        <w:rPr>
          <w:rFonts w:ascii="Times New Roman" w:hAnsi="Times New Roman" w:cs="Times New Roman"/>
          <w:noProof/>
          <w:sz w:val="24"/>
          <w:szCs w:val="24"/>
        </w:rPr>
        <w:tab/>
        <w:t>Fadlyana E, Rusmil K, Garna H, Sumarman I, Adi SS, NS Bachtiar. Immunogenicity and safety of the vaccine Tetanus Diphtheria (Td) in Adolescents as an effort to prevent reemerging disease in Indonesia.</w:t>
      </w:r>
      <w:r w:rsidRPr="0079086B">
        <w:rPr>
          <w:rFonts w:ascii="Times New Roman" w:hAnsi="Times New Roman" w:cs="Times New Roman"/>
          <w:i/>
          <w:iCs/>
          <w:noProof/>
          <w:sz w:val="24"/>
          <w:szCs w:val="24"/>
        </w:rPr>
        <w:t>Sari Pediatr</w:t>
      </w:r>
      <w:r w:rsidRPr="0079086B">
        <w:rPr>
          <w:rFonts w:ascii="Times New Roman" w:hAnsi="Times New Roman" w:cs="Times New Roman"/>
          <w:noProof/>
          <w:sz w:val="24"/>
          <w:szCs w:val="24"/>
        </w:rPr>
        <w:t>, 2016. doi: 10.14238 / sp15.3.2013.141-9</w:t>
      </w:r>
    </w:p>
    <w:p w14:paraId="7864B0EF"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6. </w:t>
      </w:r>
      <w:r w:rsidRPr="0079086B">
        <w:rPr>
          <w:rFonts w:ascii="Times New Roman" w:hAnsi="Times New Roman" w:cs="Times New Roman"/>
          <w:noProof/>
          <w:sz w:val="24"/>
          <w:szCs w:val="24"/>
        </w:rPr>
        <w:tab/>
        <w:t>Reports RSHS incidence of diphtheria in October 2017 - January 2018.</w:t>
      </w:r>
    </w:p>
    <w:p w14:paraId="49E4B470"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7. </w:t>
      </w:r>
      <w:r w:rsidRPr="0079086B">
        <w:rPr>
          <w:rFonts w:ascii="Times New Roman" w:hAnsi="Times New Roman" w:cs="Times New Roman"/>
          <w:noProof/>
          <w:sz w:val="24"/>
          <w:szCs w:val="24"/>
        </w:rPr>
        <w:tab/>
        <w:t>CDC. Immunology and Vaccine-preventable diseases - Pink Book - Diphtheria.</w:t>
      </w:r>
      <w:r w:rsidRPr="0079086B">
        <w:rPr>
          <w:rFonts w:ascii="Times New Roman" w:hAnsi="Times New Roman" w:cs="Times New Roman"/>
          <w:i/>
          <w:iCs/>
          <w:noProof/>
          <w:sz w:val="24"/>
          <w:szCs w:val="24"/>
        </w:rPr>
        <w:t>The Cable</w:t>
      </w:r>
      <w:r w:rsidRPr="0079086B">
        <w:rPr>
          <w:rFonts w:ascii="Times New Roman" w:hAnsi="Times New Roman" w:cs="Times New Roman"/>
          <w:noProof/>
          <w:sz w:val="24"/>
          <w:szCs w:val="24"/>
        </w:rPr>
        <w:t>, 2017: 1-8. doi: 10.1016 / B978-1-4377-2702-9.00132-X</w:t>
      </w:r>
    </w:p>
    <w:p w14:paraId="65EB1104"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8. </w:t>
      </w:r>
      <w:r w:rsidRPr="0079086B">
        <w:rPr>
          <w:rFonts w:ascii="Times New Roman" w:hAnsi="Times New Roman" w:cs="Times New Roman"/>
          <w:noProof/>
          <w:sz w:val="24"/>
          <w:szCs w:val="24"/>
        </w:rPr>
        <w:tab/>
        <w:t>J. Larry Jameson, Anthony S. Fauci, Dennis L. Kasper, Stephen L. Hauser, Dan L. Longo JL. Harrison's Principles of Internal Medicine.</w:t>
      </w:r>
      <w:r w:rsidRPr="0079086B">
        <w:rPr>
          <w:rFonts w:ascii="Times New Roman" w:hAnsi="Times New Roman" w:cs="Times New Roman"/>
          <w:i/>
          <w:iCs/>
          <w:noProof/>
          <w:sz w:val="24"/>
          <w:szCs w:val="24"/>
        </w:rPr>
        <w:t>JAMA J Am Med Assoc</w:t>
      </w:r>
      <w:r w:rsidRPr="0079086B">
        <w:rPr>
          <w:rFonts w:ascii="Times New Roman" w:hAnsi="Times New Roman" w:cs="Times New Roman"/>
          <w:noProof/>
          <w:sz w:val="24"/>
          <w:szCs w:val="24"/>
        </w:rPr>
        <w:t>, 2018. doi: 10.1001 / jama.1980.03300470050029</w:t>
      </w:r>
    </w:p>
    <w:p w14:paraId="05F8A89D"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9. </w:t>
      </w:r>
      <w:r w:rsidRPr="0079086B">
        <w:rPr>
          <w:rFonts w:ascii="Times New Roman" w:hAnsi="Times New Roman" w:cs="Times New Roman"/>
          <w:noProof/>
          <w:sz w:val="24"/>
          <w:szCs w:val="24"/>
        </w:rPr>
        <w:tab/>
        <w:t xml:space="preserve">Djauzi S, Sundoro J, Rengganis I, koenoe S, G maria S. Soegiarto Adult Immunization Guidelines 2017. </w:t>
      </w:r>
      <w:r w:rsidRPr="0079086B">
        <w:rPr>
          <w:rFonts w:ascii="Times New Roman" w:hAnsi="Times New Roman" w:cs="Times New Roman"/>
          <w:i/>
          <w:iCs/>
          <w:noProof/>
          <w:sz w:val="24"/>
          <w:szCs w:val="24"/>
        </w:rPr>
        <w:t>PAPDI</w:t>
      </w:r>
      <w:r w:rsidRPr="0079086B">
        <w:rPr>
          <w:rFonts w:ascii="Times New Roman" w:hAnsi="Times New Roman" w:cs="Times New Roman"/>
          <w:noProof/>
          <w:sz w:val="24"/>
          <w:szCs w:val="24"/>
        </w:rPr>
        <w:t>, 2017.</w:t>
      </w:r>
    </w:p>
    <w:p w14:paraId="2F694090"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10. </w:t>
      </w:r>
      <w:r w:rsidRPr="0079086B">
        <w:rPr>
          <w:rFonts w:ascii="Times New Roman" w:hAnsi="Times New Roman" w:cs="Times New Roman"/>
          <w:noProof/>
          <w:sz w:val="24"/>
          <w:szCs w:val="24"/>
        </w:rPr>
        <w:tab/>
        <w:t>De La Fuente IG, Wagner N, Siegrist CA, Posfay-Barbe KM. Tetanus immunity as a surrogate for past diphtheria-tetanus-pertussis immunization in migrant children.</w:t>
      </w:r>
      <w:r w:rsidRPr="0079086B">
        <w:rPr>
          <w:rFonts w:ascii="Times New Roman" w:hAnsi="Times New Roman" w:cs="Times New Roman"/>
          <w:i/>
          <w:iCs/>
          <w:noProof/>
          <w:sz w:val="24"/>
          <w:szCs w:val="24"/>
        </w:rPr>
        <w:t>Pediatr Infect Dis J</w:t>
      </w:r>
      <w:r w:rsidRPr="0079086B">
        <w:rPr>
          <w:rFonts w:ascii="Times New Roman" w:hAnsi="Times New Roman" w:cs="Times New Roman"/>
          <w:noProof/>
          <w:sz w:val="24"/>
          <w:szCs w:val="24"/>
        </w:rPr>
        <w:t>, 2013. doi: 10.1097 / INF.0b013e3182748f0b</w:t>
      </w:r>
    </w:p>
    <w:p w14:paraId="73DEB09F"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11. </w:t>
      </w:r>
      <w:r w:rsidRPr="0079086B">
        <w:rPr>
          <w:rFonts w:ascii="Times New Roman" w:hAnsi="Times New Roman" w:cs="Times New Roman"/>
          <w:noProof/>
          <w:sz w:val="24"/>
          <w:szCs w:val="24"/>
        </w:rPr>
        <w:tab/>
        <w:t>Shadish WR, Cook TD, Campbell DT. From: Shadish, W., Cook, T. &amp; Campbell, D (2002) Experimental and Quasi-Experimental Designs for Generalized Causal Inference.Boston: Houghton Mifflin. Exp QuasiExperimental December Gen Causal Inference. 2002.</w:t>
      </w:r>
    </w:p>
    <w:p w14:paraId="412ABB93"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12. </w:t>
      </w:r>
      <w:r w:rsidRPr="0079086B">
        <w:rPr>
          <w:rFonts w:ascii="Times New Roman" w:hAnsi="Times New Roman" w:cs="Times New Roman"/>
          <w:noProof/>
          <w:sz w:val="24"/>
          <w:szCs w:val="24"/>
        </w:rPr>
        <w:tab/>
        <w:t xml:space="preserve">Vellinga A, Van Damme P, Joossens E, Goossens H. Response to diphtheria booster vaccination in healthy adults: Vaccine trial. </w:t>
      </w:r>
      <w:r w:rsidRPr="0079086B">
        <w:rPr>
          <w:rFonts w:ascii="Times New Roman" w:hAnsi="Times New Roman" w:cs="Times New Roman"/>
          <w:i/>
          <w:iCs/>
          <w:noProof/>
          <w:sz w:val="24"/>
          <w:szCs w:val="24"/>
        </w:rPr>
        <w:t>Br Med J</w:t>
      </w:r>
      <w:r w:rsidRPr="0079086B">
        <w:rPr>
          <w:rFonts w:ascii="Times New Roman" w:hAnsi="Times New Roman" w:cs="Times New Roman"/>
          <w:noProof/>
          <w:sz w:val="24"/>
          <w:szCs w:val="24"/>
        </w:rPr>
        <w:t>, 2000.</w:t>
      </w:r>
    </w:p>
    <w:p w14:paraId="1F6ABAF7"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13. </w:t>
      </w:r>
      <w:r w:rsidRPr="0079086B">
        <w:rPr>
          <w:rFonts w:ascii="Times New Roman" w:hAnsi="Times New Roman" w:cs="Times New Roman"/>
          <w:noProof/>
          <w:sz w:val="24"/>
          <w:szCs w:val="24"/>
        </w:rPr>
        <w:tab/>
        <w:t xml:space="preserve">Christenson B, Hellstrom U, Sylvan SPE, Henriksson L, Granström M. Impact of a vaccination campaign on adult immunity to diphtheria. </w:t>
      </w:r>
      <w:r w:rsidRPr="0079086B">
        <w:rPr>
          <w:rFonts w:ascii="Times New Roman" w:hAnsi="Times New Roman" w:cs="Times New Roman"/>
          <w:i/>
          <w:iCs/>
          <w:noProof/>
          <w:sz w:val="24"/>
          <w:szCs w:val="24"/>
        </w:rPr>
        <w:t>Vaccine</w:t>
      </w:r>
      <w:r w:rsidRPr="0079086B">
        <w:rPr>
          <w:rFonts w:ascii="Times New Roman" w:hAnsi="Times New Roman" w:cs="Times New Roman"/>
          <w:noProof/>
          <w:sz w:val="24"/>
          <w:szCs w:val="24"/>
        </w:rPr>
        <w:t>, 2000. doi: 10.1016 / S0264-410X (00) 00315-7</w:t>
      </w:r>
    </w:p>
    <w:p w14:paraId="5C9350EC"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14. </w:t>
      </w:r>
      <w:r w:rsidRPr="0079086B">
        <w:rPr>
          <w:rFonts w:ascii="Times New Roman" w:hAnsi="Times New Roman" w:cs="Times New Roman"/>
          <w:noProof/>
          <w:sz w:val="24"/>
          <w:szCs w:val="24"/>
        </w:rPr>
        <w:tab/>
        <w:t xml:space="preserve">Indonesia, the Ministry of Health </w:t>
      </w:r>
      <w:r w:rsidRPr="0079086B">
        <w:rPr>
          <w:rFonts w:ascii="Times New Roman" w:hAnsi="Times New Roman" w:cs="Times New Roman"/>
          <w:i/>
          <w:iCs/>
          <w:noProof/>
          <w:sz w:val="24"/>
          <w:szCs w:val="24"/>
        </w:rPr>
        <w:t>Technical Guidelines for School Children Immunization Month 'BIAS': For Program Management</w:t>
      </w:r>
      <w:r w:rsidRPr="0079086B">
        <w:rPr>
          <w:rFonts w:ascii="Times New Roman" w:hAnsi="Times New Roman" w:cs="Times New Roman"/>
          <w:noProof/>
          <w:sz w:val="24"/>
          <w:szCs w:val="24"/>
        </w:rPr>
        <w:t>.; 1998.</w:t>
      </w:r>
    </w:p>
    <w:p w14:paraId="1A945A9C"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15. </w:t>
      </w:r>
      <w:r w:rsidRPr="0079086B">
        <w:rPr>
          <w:rFonts w:ascii="Times New Roman" w:hAnsi="Times New Roman" w:cs="Times New Roman"/>
          <w:noProof/>
          <w:sz w:val="24"/>
          <w:szCs w:val="24"/>
        </w:rPr>
        <w:tab/>
        <w:t>Isbagio et al. Status influence Diphtheria Pertussis and Tetanus Immune Response Against Diphtheria and Tetanus In Class 1 Primary School Students In District Cimandala.</w:t>
      </w:r>
      <w:r w:rsidRPr="0079086B">
        <w:rPr>
          <w:rFonts w:ascii="Times New Roman" w:hAnsi="Times New Roman" w:cs="Times New Roman"/>
          <w:i/>
          <w:iCs/>
          <w:noProof/>
          <w:sz w:val="24"/>
          <w:szCs w:val="24"/>
        </w:rPr>
        <w:t>Bul penelit Kesehat</w:t>
      </w:r>
      <w:r w:rsidRPr="0079086B">
        <w:rPr>
          <w:rFonts w:ascii="Times New Roman" w:hAnsi="Times New Roman" w:cs="Times New Roman"/>
          <w:noProof/>
          <w:sz w:val="24"/>
          <w:szCs w:val="24"/>
        </w:rPr>
        <w:t>, 2004; 32 (2): 62-72.</w:t>
      </w:r>
    </w:p>
    <w:p w14:paraId="4864C33A"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lastRenderedPageBreak/>
        <w:t xml:space="preserve">16. </w:t>
      </w:r>
      <w:r w:rsidRPr="0079086B">
        <w:rPr>
          <w:rFonts w:ascii="Times New Roman" w:hAnsi="Times New Roman" w:cs="Times New Roman"/>
          <w:noProof/>
          <w:sz w:val="24"/>
          <w:szCs w:val="24"/>
        </w:rPr>
        <w:tab/>
        <w:t>Ang LW, James L, Goh KT. Prevalence of diphtheria and tetanus antibodies among adults in Singapore: A national serological study to identify most susceptible population groups.</w:t>
      </w:r>
      <w:r w:rsidRPr="0079086B">
        <w:rPr>
          <w:rFonts w:ascii="Times New Roman" w:hAnsi="Times New Roman" w:cs="Times New Roman"/>
          <w:i/>
          <w:iCs/>
          <w:noProof/>
          <w:sz w:val="24"/>
          <w:szCs w:val="24"/>
        </w:rPr>
        <w:t>J Public Heal (United Kingdom)</w:t>
      </w:r>
      <w:r w:rsidRPr="0079086B">
        <w:rPr>
          <w:rFonts w:ascii="Times New Roman" w:hAnsi="Times New Roman" w:cs="Times New Roman"/>
          <w:noProof/>
          <w:sz w:val="24"/>
          <w:szCs w:val="24"/>
        </w:rPr>
        <w:t>, 2016. doi: 10.1093 / PubMed / fdv011</w:t>
      </w:r>
    </w:p>
    <w:p w14:paraId="5CA25685"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17. </w:t>
      </w:r>
      <w:r w:rsidRPr="0079086B">
        <w:rPr>
          <w:rFonts w:ascii="Times New Roman" w:hAnsi="Times New Roman" w:cs="Times New Roman"/>
          <w:noProof/>
          <w:sz w:val="24"/>
          <w:szCs w:val="24"/>
        </w:rPr>
        <w:tab/>
        <w:t xml:space="preserve">Mortimer J, Melville-Smith M, Sheffield F. DIPHTHERIA Vaccine FOR ADULTS. </w:t>
      </w:r>
      <w:r w:rsidRPr="0079086B">
        <w:rPr>
          <w:rFonts w:ascii="Times New Roman" w:hAnsi="Times New Roman" w:cs="Times New Roman"/>
          <w:i/>
          <w:iCs/>
          <w:noProof/>
          <w:sz w:val="24"/>
          <w:szCs w:val="24"/>
        </w:rPr>
        <w:t>Lancet</w:t>
      </w:r>
      <w:r w:rsidRPr="0079086B">
        <w:rPr>
          <w:rFonts w:ascii="Times New Roman" w:hAnsi="Times New Roman" w:cs="Times New Roman"/>
          <w:noProof/>
          <w:sz w:val="24"/>
          <w:szCs w:val="24"/>
        </w:rPr>
        <w:t>, 1986. doi: 10.1016 / S0140-6736 (86) 92194-X</w:t>
      </w:r>
    </w:p>
    <w:p w14:paraId="5ADE0CF9"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18. </w:t>
      </w:r>
      <w:r w:rsidRPr="0079086B">
        <w:rPr>
          <w:rFonts w:ascii="Times New Roman" w:hAnsi="Times New Roman" w:cs="Times New Roman"/>
          <w:noProof/>
          <w:sz w:val="24"/>
          <w:szCs w:val="24"/>
        </w:rPr>
        <w:tab/>
        <w:t>Wharton, M. and CV. "Diptheria Toxoid." In:</w:t>
      </w:r>
      <w:r w:rsidRPr="0079086B">
        <w:rPr>
          <w:rFonts w:ascii="Times New Roman" w:hAnsi="Times New Roman" w:cs="Times New Roman"/>
          <w:i/>
          <w:iCs/>
          <w:noProof/>
          <w:sz w:val="24"/>
          <w:szCs w:val="24"/>
        </w:rPr>
        <w:t>Vaccine</w:t>
      </w:r>
      <w:r w:rsidRPr="0079086B">
        <w:rPr>
          <w:rFonts w:ascii="Times New Roman" w:hAnsi="Times New Roman" w:cs="Times New Roman"/>
          <w:noProof/>
          <w:sz w:val="24"/>
          <w:szCs w:val="24"/>
        </w:rPr>
        <w:t>, SA Plot. ; 2004: 211-228.</w:t>
      </w:r>
    </w:p>
    <w:p w14:paraId="13A49270" w14:textId="6E4AD008"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19. </w:t>
      </w:r>
      <w:r w:rsidRPr="0079086B">
        <w:rPr>
          <w:rFonts w:ascii="Times New Roman" w:hAnsi="Times New Roman" w:cs="Times New Roman"/>
          <w:noProof/>
          <w:sz w:val="24"/>
          <w:szCs w:val="24"/>
        </w:rPr>
        <w:tab/>
        <w:t xml:space="preserve">Tumbelaka AR, Hadinegoro S. </w:t>
      </w:r>
      <w:r w:rsidRPr="0079086B">
        <w:rPr>
          <w:rFonts w:ascii="Times New Roman" w:hAnsi="Times New Roman" w:cs="Times New Roman"/>
          <w:i/>
          <w:iCs/>
          <w:noProof/>
          <w:sz w:val="24"/>
          <w:szCs w:val="24"/>
        </w:rPr>
        <w:t>Immunization Guidelines In Indonesia</w:t>
      </w:r>
      <w:r w:rsidRPr="0079086B">
        <w:rPr>
          <w:rFonts w:ascii="Times New Roman" w:hAnsi="Times New Roman" w:cs="Times New Roman"/>
          <w:noProof/>
          <w:sz w:val="24"/>
          <w:szCs w:val="24"/>
        </w:rPr>
        <w:t>, 2nd ed. (</w:t>
      </w:r>
      <w:r w:rsidR="001A1360">
        <w:rPr>
          <w:rFonts w:ascii="Times New Roman" w:hAnsi="Times New Roman" w:cs="Times New Roman"/>
          <w:noProof/>
          <w:sz w:val="24"/>
          <w:szCs w:val="24"/>
        </w:rPr>
        <w:t>needs</w:t>
      </w:r>
      <w:r w:rsidRPr="0079086B">
        <w:rPr>
          <w:rFonts w:ascii="Times New Roman" w:hAnsi="Times New Roman" w:cs="Times New Roman"/>
          <w:noProof/>
          <w:sz w:val="24"/>
          <w:szCs w:val="24"/>
        </w:rPr>
        <w:t xml:space="preserve"> I, Suyitno H, Hadinegoro S, Kartasasmita CB, eds.). Jakarta; 2005.</w:t>
      </w:r>
    </w:p>
    <w:p w14:paraId="2B928E55"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20. </w:t>
      </w:r>
      <w:r w:rsidRPr="0079086B">
        <w:rPr>
          <w:rFonts w:ascii="Times New Roman" w:hAnsi="Times New Roman" w:cs="Times New Roman"/>
          <w:noProof/>
          <w:sz w:val="24"/>
          <w:szCs w:val="24"/>
        </w:rPr>
        <w:tab/>
        <w:t xml:space="preserve">Galazka A. </w:t>
      </w:r>
      <w:r w:rsidRPr="0079086B">
        <w:rPr>
          <w:rFonts w:ascii="Times New Roman" w:hAnsi="Times New Roman" w:cs="Times New Roman"/>
          <w:i/>
          <w:iCs/>
          <w:noProof/>
          <w:sz w:val="24"/>
          <w:szCs w:val="24"/>
        </w:rPr>
        <w:t>The immunological basis for Immunization. Module 1: General Immunology</w:t>
      </w:r>
      <w:r w:rsidRPr="0079086B">
        <w:rPr>
          <w:rFonts w:ascii="Times New Roman" w:hAnsi="Times New Roman" w:cs="Times New Roman"/>
          <w:noProof/>
          <w:sz w:val="24"/>
          <w:szCs w:val="24"/>
        </w:rPr>
        <w:t>, Geneva: World Health Organization; 1993.</w:t>
      </w:r>
    </w:p>
    <w:p w14:paraId="306B1CD6"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21. </w:t>
      </w:r>
      <w:r w:rsidRPr="0079086B">
        <w:rPr>
          <w:rFonts w:ascii="Times New Roman" w:hAnsi="Times New Roman" w:cs="Times New Roman"/>
          <w:noProof/>
          <w:sz w:val="24"/>
          <w:szCs w:val="24"/>
        </w:rPr>
        <w:tab/>
        <w:t xml:space="preserve">Akib A. </w:t>
      </w:r>
      <w:r w:rsidRPr="0079086B">
        <w:rPr>
          <w:rFonts w:ascii="Times New Roman" w:hAnsi="Times New Roman" w:cs="Times New Roman"/>
          <w:i/>
          <w:iCs/>
          <w:noProof/>
          <w:sz w:val="24"/>
          <w:szCs w:val="24"/>
        </w:rPr>
        <w:t>2nd National Symposium on Immunization</w:t>
      </w:r>
      <w:r w:rsidRPr="0079086B">
        <w:rPr>
          <w:rFonts w:ascii="Times New Roman" w:hAnsi="Times New Roman" w:cs="Times New Roman"/>
          <w:noProof/>
          <w:sz w:val="24"/>
          <w:szCs w:val="24"/>
        </w:rPr>
        <w:t>, (Oswari H, Hadinegoro SR, Trihono PP SR, ed.). Jakarta; 2010.</w:t>
      </w:r>
    </w:p>
    <w:p w14:paraId="183DFBEF"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22. </w:t>
      </w:r>
      <w:r w:rsidRPr="0079086B">
        <w:rPr>
          <w:rFonts w:ascii="Times New Roman" w:hAnsi="Times New Roman" w:cs="Times New Roman"/>
          <w:noProof/>
          <w:sz w:val="24"/>
          <w:szCs w:val="24"/>
        </w:rPr>
        <w:tab/>
        <w:t>Pichichero ME, Blatter MM, Kennedy WA, Hedrick J, Descamps D, Friedland LR. Acellular pertussis booster vaccine combined with diphtheria and tetanus toxoids for adolescents.</w:t>
      </w:r>
      <w:r w:rsidRPr="0079086B">
        <w:rPr>
          <w:rFonts w:ascii="Times New Roman" w:hAnsi="Times New Roman" w:cs="Times New Roman"/>
          <w:i/>
          <w:iCs/>
          <w:noProof/>
          <w:sz w:val="24"/>
          <w:szCs w:val="24"/>
        </w:rPr>
        <w:t>Pediatrics</w:t>
      </w:r>
      <w:r w:rsidRPr="0079086B">
        <w:rPr>
          <w:rFonts w:ascii="Times New Roman" w:hAnsi="Times New Roman" w:cs="Times New Roman"/>
          <w:noProof/>
          <w:sz w:val="24"/>
          <w:szCs w:val="24"/>
        </w:rPr>
        <w:t>, 2006. doi: 10.1542 / peds.2005-1759</w:t>
      </w:r>
    </w:p>
    <w:p w14:paraId="1CF6D086"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23. </w:t>
      </w:r>
      <w:r w:rsidRPr="0079086B">
        <w:rPr>
          <w:rFonts w:ascii="Times New Roman" w:hAnsi="Times New Roman" w:cs="Times New Roman"/>
          <w:noProof/>
          <w:sz w:val="24"/>
          <w:szCs w:val="24"/>
        </w:rPr>
        <w:tab/>
        <w:t>Fadlyana E, Tanuwidjaja S, Rusmi Kl, Dhamayanti M, Soemara LH DR. Immunogenicity and K security wheel V aksin DPT S fter I munisasi D asar.</w:t>
      </w:r>
      <w:r w:rsidRPr="0079086B">
        <w:rPr>
          <w:rFonts w:ascii="Times New Roman" w:hAnsi="Times New Roman" w:cs="Times New Roman"/>
          <w:i/>
          <w:iCs/>
          <w:noProof/>
          <w:sz w:val="24"/>
          <w:szCs w:val="24"/>
        </w:rPr>
        <w:t>Sari Pediatr Vol 4, No 3, December 2002 Sari Pediatr</w:t>
      </w:r>
      <w:r w:rsidRPr="0079086B">
        <w:rPr>
          <w:rFonts w:ascii="Times New Roman" w:hAnsi="Times New Roman" w:cs="Times New Roman"/>
          <w:noProof/>
          <w:sz w:val="24"/>
          <w:szCs w:val="24"/>
        </w:rPr>
        <w:t>, 2002.</w:t>
      </w:r>
    </w:p>
    <w:p w14:paraId="43AA7035"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24. </w:t>
      </w:r>
      <w:r w:rsidRPr="0079086B">
        <w:rPr>
          <w:rFonts w:ascii="Times New Roman" w:hAnsi="Times New Roman" w:cs="Times New Roman"/>
          <w:noProof/>
          <w:sz w:val="24"/>
          <w:szCs w:val="24"/>
        </w:rPr>
        <w:tab/>
        <w:t>Wiboonchutikul S, Manosuthi W, Sangsajja C, et al. Baseline immunity to diphtheria and immunologic response after booster vaccination with reduced diphtheria and tetanustoxoid vaccine in the Thai health care workers. Am J Infect Control. 2014. doi: 10.1016 / j.ajic.2014.03.005</w:t>
      </w:r>
    </w:p>
    <w:p w14:paraId="7C9F7EB0"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25. </w:t>
      </w:r>
      <w:r w:rsidRPr="0079086B">
        <w:rPr>
          <w:rFonts w:ascii="Times New Roman" w:hAnsi="Times New Roman" w:cs="Times New Roman"/>
          <w:noProof/>
          <w:sz w:val="24"/>
          <w:szCs w:val="24"/>
        </w:rPr>
        <w:tab/>
        <w:t>Pool V, Tomovici A, Johnson DR, DP Greenberg, MD Decker. Humoral immunity 10 years after booster immunization with an adolescent and adult formulation combined tetanus, diphtheria, and 5-component acellular pertussis vaccine in the USA.</w:t>
      </w:r>
      <w:r w:rsidRPr="0079086B">
        <w:rPr>
          <w:rFonts w:ascii="Times New Roman" w:hAnsi="Times New Roman" w:cs="Times New Roman"/>
          <w:i/>
          <w:iCs/>
          <w:noProof/>
          <w:sz w:val="24"/>
          <w:szCs w:val="24"/>
        </w:rPr>
        <w:t>Vaccine</w:t>
      </w:r>
      <w:r w:rsidRPr="0079086B">
        <w:rPr>
          <w:rFonts w:ascii="Times New Roman" w:hAnsi="Times New Roman" w:cs="Times New Roman"/>
          <w:noProof/>
          <w:sz w:val="24"/>
          <w:szCs w:val="24"/>
        </w:rPr>
        <w:t>, 2018. doi: 10.1016 / j.vaccine.2018.03.029</w:t>
      </w:r>
    </w:p>
    <w:p w14:paraId="0DCC1330"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26. </w:t>
      </w:r>
      <w:r w:rsidRPr="0079086B">
        <w:rPr>
          <w:rFonts w:ascii="Times New Roman" w:hAnsi="Times New Roman" w:cs="Times New Roman"/>
          <w:noProof/>
          <w:sz w:val="24"/>
          <w:szCs w:val="24"/>
        </w:rPr>
        <w:tab/>
        <w:t>World Health Organization (WHO). Supplementary information on vaccine safety vaccines DEPARTMENT OF AND Biologicals The Department of Vaccines and Biologicals thanks the donors Whose unspecified financial support has made the production of this document possible.</w:t>
      </w:r>
      <w:r w:rsidRPr="0079086B">
        <w:rPr>
          <w:rFonts w:ascii="Times New Roman" w:hAnsi="Times New Roman" w:cs="Times New Roman"/>
          <w:i/>
          <w:iCs/>
          <w:noProof/>
          <w:sz w:val="24"/>
          <w:szCs w:val="24"/>
        </w:rPr>
        <w:t>World Heal Organ Geneva</w:t>
      </w:r>
      <w:r w:rsidRPr="0079086B">
        <w:rPr>
          <w:rFonts w:ascii="Times New Roman" w:hAnsi="Times New Roman" w:cs="Times New Roman"/>
          <w:noProof/>
          <w:sz w:val="24"/>
          <w:szCs w:val="24"/>
        </w:rPr>
        <w:t>, 2000. doi: WHO / V &amp; B / 00:36</w:t>
      </w:r>
    </w:p>
    <w:p w14:paraId="6908C59E"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lastRenderedPageBreak/>
        <w:t xml:space="preserve">27. </w:t>
      </w:r>
      <w:r w:rsidRPr="0079086B">
        <w:rPr>
          <w:rFonts w:ascii="Times New Roman" w:hAnsi="Times New Roman" w:cs="Times New Roman"/>
          <w:noProof/>
          <w:sz w:val="24"/>
          <w:szCs w:val="24"/>
        </w:rPr>
        <w:tab/>
        <w:t>Barkin RM, Pichichero ME. Diphtheria pertussis tetanus vaccine: Reactogenicity of commercial products.</w:t>
      </w:r>
      <w:r w:rsidRPr="0079086B">
        <w:rPr>
          <w:rFonts w:ascii="Times New Roman" w:hAnsi="Times New Roman" w:cs="Times New Roman"/>
          <w:i/>
          <w:iCs/>
          <w:noProof/>
          <w:sz w:val="24"/>
          <w:szCs w:val="24"/>
        </w:rPr>
        <w:t>Pediatrics</w:t>
      </w:r>
      <w:r w:rsidRPr="0079086B">
        <w:rPr>
          <w:rFonts w:ascii="Times New Roman" w:hAnsi="Times New Roman" w:cs="Times New Roman"/>
          <w:noProof/>
          <w:sz w:val="24"/>
          <w:szCs w:val="24"/>
        </w:rPr>
        <w:t>, 1979.</w:t>
      </w:r>
    </w:p>
    <w:p w14:paraId="10922C8C"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28. </w:t>
      </w:r>
      <w:r w:rsidRPr="0079086B">
        <w:rPr>
          <w:rFonts w:ascii="Times New Roman" w:hAnsi="Times New Roman" w:cs="Times New Roman"/>
          <w:noProof/>
          <w:sz w:val="24"/>
          <w:szCs w:val="24"/>
        </w:rPr>
        <w:tab/>
        <w:t>Martin LR, Petrie KJ. Understanding the Dimensions of Anti-Vaccination Attitudes: the Vaccination Attitudes Examination (VAX) Scale.</w:t>
      </w:r>
      <w:r w:rsidRPr="0079086B">
        <w:rPr>
          <w:rFonts w:ascii="Times New Roman" w:hAnsi="Times New Roman" w:cs="Times New Roman"/>
          <w:i/>
          <w:iCs/>
          <w:noProof/>
          <w:sz w:val="24"/>
          <w:szCs w:val="24"/>
        </w:rPr>
        <w:t>Ann Behav Med</w:t>
      </w:r>
      <w:r w:rsidRPr="0079086B">
        <w:rPr>
          <w:rFonts w:ascii="Times New Roman" w:hAnsi="Times New Roman" w:cs="Times New Roman"/>
          <w:noProof/>
          <w:sz w:val="24"/>
          <w:szCs w:val="24"/>
        </w:rPr>
        <w:t>, 2017. doi: 10.1007 / s12160-017-9888-y</w:t>
      </w:r>
    </w:p>
    <w:p w14:paraId="52C3AAC9"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29. </w:t>
      </w:r>
      <w:r w:rsidRPr="0079086B">
        <w:rPr>
          <w:rFonts w:ascii="Times New Roman" w:hAnsi="Times New Roman" w:cs="Times New Roman"/>
          <w:noProof/>
          <w:sz w:val="24"/>
          <w:szCs w:val="24"/>
        </w:rPr>
        <w:tab/>
        <w:t xml:space="preserve">Bedford H, K Attwell, Danchin M, Marshall H, Corben P, Leask J. Vaccine hesitancy, refusal and access barriers: The need for clarity in terminology. </w:t>
      </w:r>
      <w:r w:rsidRPr="0079086B">
        <w:rPr>
          <w:rFonts w:ascii="Times New Roman" w:hAnsi="Times New Roman" w:cs="Times New Roman"/>
          <w:i/>
          <w:iCs/>
          <w:noProof/>
          <w:sz w:val="24"/>
          <w:szCs w:val="24"/>
        </w:rPr>
        <w:t>Vaccine</w:t>
      </w:r>
      <w:r w:rsidRPr="0079086B">
        <w:rPr>
          <w:rFonts w:ascii="Times New Roman" w:hAnsi="Times New Roman" w:cs="Times New Roman"/>
          <w:noProof/>
          <w:sz w:val="24"/>
          <w:szCs w:val="24"/>
        </w:rPr>
        <w:t>, 2018. doi: 10.1016 / j.vaccine.2017.08.004</w:t>
      </w:r>
    </w:p>
    <w:p w14:paraId="377BB624"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szCs w:val="24"/>
        </w:rPr>
      </w:pPr>
      <w:r w:rsidRPr="0079086B">
        <w:rPr>
          <w:rFonts w:ascii="Times New Roman" w:hAnsi="Times New Roman" w:cs="Times New Roman"/>
          <w:noProof/>
          <w:sz w:val="24"/>
          <w:szCs w:val="24"/>
        </w:rPr>
        <w:t xml:space="preserve">30. </w:t>
      </w:r>
      <w:r w:rsidRPr="0079086B">
        <w:rPr>
          <w:rFonts w:ascii="Times New Roman" w:hAnsi="Times New Roman" w:cs="Times New Roman"/>
          <w:noProof/>
          <w:sz w:val="24"/>
          <w:szCs w:val="24"/>
        </w:rPr>
        <w:tab/>
        <w:t>Gagneur A, Gosselin V, Dubé È. Motivational interviewing: A promising tool to address vaccine hesitancy.</w:t>
      </w:r>
      <w:r w:rsidRPr="0079086B">
        <w:rPr>
          <w:rFonts w:ascii="Times New Roman" w:hAnsi="Times New Roman" w:cs="Times New Roman"/>
          <w:i/>
          <w:iCs/>
          <w:noProof/>
          <w:sz w:val="24"/>
          <w:szCs w:val="24"/>
        </w:rPr>
        <w:t>Vaccine</w:t>
      </w:r>
      <w:r w:rsidRPr="0079086B">
        <w:rPr>
          <w:rFonts w:ascii="Times New Roman" w:hAnsi="Times New Roman" w:cs="Times New Roman"/>
          <w:noProof/>
          <w:sz w:val="24"/>
          <w:szCs w:val="24"/>
        </w:rPr>
        <w:t>, 2018. doi: 10.1016 / j.vaccine.2017.10.049</w:t>
      </w:r>
    </w:p>
    <w:p w14:paraId="200743BE" w14:textId="77777777" w:rsidR="0079086B" w:rsidRPr="0079086B" w:rsidRDefault="0079086B" w:rsidP="00875E69">
      <w:pPr>
        <w:widowControl w:val="0"/>
        <w:autoSpaceDE w:val="0"/>
        <w:autoSpaceDN w:val="0"/>
        <w:adjustRightInd w:val="0"/>
        <w:spacing w:line="360" w:lineRule="auto"/>
        <w:ind w:left="640" w:hanging="640"/>
        <w:rPr>
          <w:rFonts w:ascii="Times New Roman" w:hAnsi="Times New Roman" w:cs="Times New Roman"/>
          <w:noProof/>
          <w:sz w:val="24"/>
        </w:rPr>
      </w:pPr>
      <w:r w:rsidRPr="0079086B">
        <w:rPr>
          <w:rFonts w:ascii="Times New Roman" w:hAnsi="Times New Roman" w:cs="Times New Roman"/>
          <w:noProof/>
          <w:sz w:val="24"/>
          <w:szCs w:val="24"/>
        </w:rPr>
        <w:t xml:space="preserve">31. </w:t>
      </w:r>
      <w:r w:rsidRPr="0079086B">
        <w:rPr>
          <w:rFonts w:ascii="Times New Roman" w:hAnsi="Times New Roman" w:cs="Times New Roman"/>
          <w:noProof/>
          <w:sz w:val="24"/>
          <w:szCs w:val="24"/>
        </w:rPr>
        <w:tab/>
        <w:t xml:space="preserve">Parrish-SPROWL J. Vaccine hesitancy communication: What counts as evidence. </w:t>
      </w:r>
      <w:r w:rsidRPr="0079086B">
        <w:rPr>
          <w:rFonts w:ascii="Times New Roman" w:hAnsi="Times New Roman" w:cs="Times New Roman"/>
          <w:i/>
          <w:iCs/>
          <w:noProof/>
          <w:sz w:val="24"/>
          <w:szCs w:val="24"/>
        </w:rPr>
        <w:t>Vaccine</w:t>
      </w:r>
      <w:r w:rsidRPr="0079086B">
        <w:rPr>
          <w:rFonts w:ascii="Times New Roman" w:hAnsi="Times New Roman" w:cs="Times New Roman"/>
          <w:noProof/>
          <w:sz w:val="24"/>
          <w:szCs w:val="24"/>
        </w:rPr>
        <w:t>, 2018. doi: 10.1016 / j.vaccine.2017.09.064</w:t>
      </w:r>
    </w:p>
    <w:p w14:paraId="1662CA0E" w14:textId="19200520" w:rsidR="001416B7" w:rsidRPr="00715EF9" w:rsidRDefault="0079086B" w:rsidP="00875E69">
      <w:pPr>
        <w:widowControl w:val="0"/>
        <w:tabs>
          <w:tab w:val="left" w:pos="1200"/>
        </w:tabs>
        <w:autoSpaceDE w:val="0"/>
        <w:autoSpaceDN w:val="0"/>
        <w:adjustRightInd w:val="0"/>
        <w:spacing w:line="360" w:lineRule="auto"/>
        <w:contextualSpacing/>
        <w:jc w:val="both"/>
        <w:rPr>
          <w:rFonts w:ascii="Times New Roman" w:hAnsi="Times New Roman"/>
          <w:color w:val="000000" w:themeColor="text1"/>
          <w:sz w:val="24"/>
          <w:szCs w:val="24"/>
          <w:lang w:val="id-ID"/>
        </w:rPr>
      </w:pPr>
      <w:r>
        <w:rPr>
          <w:rFonts w:ascii="Times New Roman" w:hAnsi="Times New Roman"/>
          <w:color w:val="000000" w:themeColor="text1"/>
          <w:sz w:val="24"/>
          <w:szCs w:val="24"/>
          <w:lang w:val="id-ID"/>
        </w:rPr>
        <w:fldChar w:fldCharType="end"/>
      </w:r>
    </w:p>
    <w:p w14:paraId="62E289B8" w14:textId="2047EDE6" w:rsidR="003D03C5" w:rsidRPr="00715EF9" w:rsidRDefault="003D03C5" w:rsidP="00875E69">
      <w:pPr>
        <w:widowControl w:val="0"/>
        <w:tabs>
          <w:tab w:val="left" w:pos="1200"/>
        </w:tabs>
        <w:autoSpaceDE w:val="0"/>
        <w:autoSpaceDN w:val="0"/>
        <w:adjustRightInd w:val="0"/>
        <w:spacing w:line="360" w:lineRule="auto"/>
        <w:ind w:left="1200" w:hanging="1200"/>
        <w:contextualSpacing/>
        <w:jc w:val="both"/>
        <w:rPr>
          <w:rFonts w:ascii="Times New Roman" w:hAnsi="Times New Roman"/>
          <w:b/>
          <w:color w:val="000000" w:themeColor="text1"/>
          <w:sz w:val="24"/>
          <w:szCs w:val="24"/>
          <w:lang w:val="id-ID"/>
        </w:rPr>
      </w:pPr>
    </w:p>
    <w:sectPr w:rsidR="003D03C5" w:rsidRPr="00715EF9" w:rsidSect="00875E69">
      <w:headerReference w:type="even" r:id="rId10"/>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7433A1" w14:textId="77777777" w:rsidR="00706EA7" w:rsidRDefault="00706EA7" w:rsidP="003D03C5">
      <w:r>
        <w:separator/>
      </w:r>
    </w:p>
  </w:endnote>
  <w:endnote w:type="continuationSeparator" w:id="0">
    <w:p w14:paraId="1E589938" w14:textId="77777777" w:rsidR="00706EA7" w:rsidRDefault="00706EA7" w:rsidP="003D0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MS Mincho">
    <w:altName w:val="ＭＳ 明朝"/>
    <w:charset w:val="80"/>
    <w:family w:val="modern"/>
    <w:pitch w:val="fixed"/>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MS Gothic">
    <w:altName w:val="ＭＳ ゴシック"/>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FE4A3" w14:textId="77777777" w:rsidR="00706EA7" w:rsidRDefault="00706EA7" w:rsidP="008152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B913F9" w14:textId="77777777" w:rsidR="00706EA7" w:rsidRDefault="00706EA7" w:rsidP="00FE715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2A9B6" w14:textId="01586F19" w:rsidR="00706EA7" w:rsidRDefault="00706EA7">
    <w:pPr>
      <w:pStyle w:val="Footer"/>
      <w:jc w:val="center"/>
    </w:pPr>
  </w:p>
  <w:p w14:paraId="39ACB6B6" w14:textId="77777777" w:rsidR="00706EA7" w:rsidRDefault="00706EA7" w:rsidP="00FE715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DE064F" w14:textId="77777777" w:rsidR="00706EA7" w:rsidRDefault="00706EA7" w:rsidP="003D03C5">
      <w:r>
        <w:separator/>
      </w:r>
    </w:p>
  </w:footnote>
  <w:footnote w:type="continuationSeparator" w:id="0">
    <w:p w14:paraId="264844D8" w14:textId="77777777" w:rsidR="00706EA7" w:rsidRDefault="00706EA7" w:rsidP="003D03C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5F3A80" w14:textId="77777777" w:rsidR="00706EA7" w:rsidRDefault="00706EA7" w:rsidP="00A92DB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6629D3" w14:textId="77777777" w:rsidR="00706EA7" w:rsidRDefault="00706EA7" w:rsidP="00807AD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C33F3" w14:textId="1BE0B70D" w:rsidR="00706EA7" w:rsidRDefault="00706EA7" w:rsidP="00277DBA">
    <w:pPr>
      <w:pStyle w:val="Header"/>
      <w:framePr w:wrap="around" w:vAnchor="text" w:hAnchor="margin" w:xAlign="right" w:y="1"/>
      <w:rPr>
        <w:rStyle w:val="PageNumber"/>
      </w:rPr>
    </w:pPr>
  </w:p>
  <w:p w14:paraId="5649CFDD" w14:textId="77777777" w:rsidR="00706EA7" w:rsidRDefault="00706EA7" w:rsidP="00807AD9">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45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205D80"/>
    <w:multiLevelType w:val="hybridMultilevel"/>
    <w:tmpl w:val="5E2E6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6858D9"/>
    <w:multiLevelType w:val="hybridMultilevel"/>
    <w:tmpl w:val="7E82D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A61502"/>
    <w:multiLevelType w:val="hybridMultilevel"/>
    <w:tmpl w:val="4C2C8F54"/>
    <w:lvl w:ilvl="0" w:tplc="0824920C">
      <w:start w:val="4"/>
      <w:numFmt w:val="bullet"/>
      <w:lvlText w:val="-"/>
      <w:lvlJc w:val="left"/>
      <w:pPr>
        <w:ind w:left="510" w:hanging="360"/>
      </w:pPr>
      <w:rPr>
        <w:rFonts w:ascii="Times New Roman" w:eastAsiaTheme="minorHAnsi" w:hAnsi="Times New Roman" w:cs="Times New Roman" w:hint="default"/>
      </w:rPr>
    </w:lvl>
    <w:lvl w:ilvl="1" w:tplc="04210003" w:tentative="1">
      <w:start w:val="1"/>
      <w:numFmt w:val="bullet"/>
      <w:lvlText w:val="o"/>
      <w:lvlJc w:val="left"/>
      <w:pPr>
        <w:ind w:left="1230" w:hanging="360"/>
      </w:pPr>
      <w:rPr>
        <w:rFonts w:ascii="Courier New" w:hAnsi="Courier New" w:cs="Courier New" w:hint="default"/>
      </w:rPr>
    </w:lvl>
    <w:lvl w:ilvl="2" w:tplc="04210005" w:tentative="1">
      <w:start w:val="1"/>
      <w:numFmt w:val="bullet"/>
      <w:lvlText w:val=""/>
      <w:lvlJc w:val="left"/>
      <w:pPr>
        <w:ind w:left="1950" w:hanging="360"/>
      </w:pPr>
      <w:rPr>
        <w:rFonts w:ascii="Wingdings" w:hAnsi="Wingdings" w:hint="default"/>
      </w:rPr>
    </w:lvl>
    <w:lvl w:ilvl="3" w:tplc="04210001" w:tentative="1">
      <w:start w:val="1"/>
      <w:numFmt w:val="bullet"/>
      <w:lvlText w:val=""/>
      <w:lvlJc w:val="left"/>
      <w:pPr>
        <w:ind w:left="2670" w:hanging="360"/>
      </w:pPr>
      <w:rPr>
        <w:rFonts w:ascii="Symbol" w:hAnsi="Symbol" w:hint="default"/>
      </w:rPr>
    </w:lvl>
    <w:lvl w:ilvl="4" w:tplc="04210003" w:tentative="1">
      <w:start w:val="1"/>
      <w:numFmt w:val="bullet"/>
      <w:lvlText w:val="o"/>
      <w:lvlJc w:val="left"/>
      <w:pPr>
        <w:ind w:left="3390" w:hanging="360"/>
      </w:pPr>
      <w:rPr>
        <w:rFonts w:ascii="Courier New" w:hAnsi="Courier New" w:cs="Courier New" w:hint="default"/>
      </w:rPr>
    </w:lvl>
    <w:lvl w:ilvl="5" w:tplc="04210005" w:tentative="1">
      <w:start w:val="1"/>
      <w:numFmt w:val="bullet"/>
      <w:lvlText w:val=""/>
      <w:lvlJc w:val="left"/>
      <w:pPr>
        <w:ind w:left="4110" w:hanging="360"/>
      </w:pPr>
      <w:rPr>
        <w:rFonts w:ascii="Wingdings" w:hAnsi="Wingdings" w:hint="default"/>
      </w:rPr>
    </w:lvl>
    <w:lvl w:ilvl="6" w:tplc="04210001" w:tentative="1">
      <w:start w:val="1"/>
      <w:numFmt w:val="bullet"/>
      <w:lvlText w:val=""/>
      <w:lvlJc w:val="left"/>
      <w:pPr>
        <w:ind w:left="4830" w:hanging="360"/>
      </w:pPr>
      <w:rPr>
        <w:rFonts w:ascii="Symbol" w:hAnsi="Symbol" w:hint="default"/>
      </w:rPr>
    </w:lvl>
    <w:lvl w:ilvl="7" w:tplc="04210003" w:tentative="1">
      <w:start w:val="1"/>
      <w:numFmt w:val="bullet"/>
      <w:lvlText w:val="o"/>
      <w:lvlJc w:val="left"/>
      <w:pPr>
        <w:ind w:left="5550" w:hanging="360"/>
      </w:pPr>
      <w:rPr>
        <w:rFonts w:ascii="Courier New" w:hAnsi="Courier New" w:cs="Courier New" w:hint="default"/>
      </w:rPr>
    </w:lvl>
    <w:lvl w:ilvl="8" w:tplc="04210005" w:tentative="1">
      <w:start w:val="1"/>
      <w:numFmt w:val="bullet"/>
      <w:lvlText w:val=""/>
      <w:lvlJc w:val="left"/>
      <w:pPr>
        <w:ind w:left="6270" w:hanging="360"/>
      </w:pPr>
      <w:rPr>
        <w:rFonts w:ascii="Wingdings" w:hAnsi="Wingdings" w:hint="default"/>
      </w:rPr>
    </w:lvl>
  </w:abstractNum>
  <w:abstractNum w:abstractNumId="4">
    <w:nsid w:val="31D27499"/>
    <w:multiLevelType w:val="hybridMultilevel"/>
    <w:tmpl w:val="057233F0"/>
    <w:lvl w:ilvl="0" w:tplc="E37EE0F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B9103B"/>
    <w:multiLevelType w:val="multilevel"/>
    <w:tmpl w:val="AA68CB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4646C19"/>
    <w:multiLevelType w:val="multilevel"/>
    <w:tmpl w:val="27A08D12"/>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B436DDA"/>
    <w:multiLevelType w:val="multilevel"/>
    <w:tmpl w:val="F4C237B8"/>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605D2119"/>
    <w:multiLevelType w:val="hybridMultilevel"/>
    <w:tmpl w:val="348A1AA0"/>
    <w:lvl w:ilvl="0" w:tplc="2D7E8080">
      <w:start w:val="2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C86D16"/>
    <w:multiLevelType w:val="hybridMultilevel"/>
    <w:tmpl w:val="600AD382"/>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0">
    <w:nsid w:val="641127BE"/>
    <w:multiLevelType w:val="multilevel"/>
    <w:tmpl w:val="DED2A0C2"/>
    <w:lvl w:ilvl="0">
      <w:start w:val="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E69550A"/>
    <w:multiLevelType w:val="hybridMultilevel"/>
    <w:tmpl w:val="4FD0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0"/>
  </w:num>
  <w:num w:numId="4">
    <w:abstractNumId w:val="6"/>
  </w:num>
  <w:num w:numId="5">
    <w:abstractNumId w:val="9"/>
  </w:num>
  <w:num w:numId="6">
    <w:abstractNumId w:val="7"/>
  </w:num>
  <w:num w:numId="7">
    <w:abstractNumId w:val="3"/>
  </w:num>
  <w:num w:numId="8">
    <w:abstractNumId w:val="2"/>
  </w:num>
  <w:num w:numId="9">
    <w:abstractNumId w:val="1"/>
  </w:num>
  <w:num w:numId="10">
    <w:abstractNumId w:val="11"/>
  </w:num>
  <w:num w:numId="11">
    <w:abstractNumId w:val="8"/>
  </w:num>
  <w:num w:numId="12">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QwMTM2sjQ3tDQyNjdU0lEKTi0uzszPAykwrAUArE76piwAAAA="/>
  </w:docVars>
  <w:rsids>
    <w:rsidRoot w:val="003D03C5"/>
    <w:rsid w:val="00001BC3"/>
    <w:rsid w:val="00010D08"/>
    <w:rsid w:val="00011513"/>
    <w:rsid w:val="00011A08"/>
    <w:rsid w:val="000133C8"/>
    <w:rsid w:val="0002454D"/>
    <w:rsid w:val="000364A5"/>
    <w:rsid w:val="00036B40"/>
    <w:rsid w:val="00046DAA"/>
    <w:rsid w:val="00050F5E"/>
    <w:rsid w:val="000561EE"/>
    <w:rsid w:val="00057561"/>
    <w:rsid w:val="00060528"/>
    <w:rsid w:val="0006056E"/>
    <w:rsid w:val="00060985"/>
    <w:rsid w:val="000617F6"/>
    <w:rsid w:val="000658D2"/>
    <w:rsid w:val="00067857"/>
    <w:rsid w:val="00070FA9"/>
    <w:rsid w:val="00090D63"/>
    <w:rsid w:val="00092258"/>
    <w:rsid w:val="00093187"/>
    <w:rsid w:val="000A2F7A"/>
    <w:rsid w:val="000A3D50"/>
    <w:rsid w:val="000A3ED2"/>
    <w:rsid w:val="000A40BD"/>
    <w:rsid w:val="000A5094"/>
    <w:rsid w:val="000A5C1F"/>
    <w:rsid w:val="000A701F"/>
    <w:rsid w:val="000A766A"/>
    <w:rsid w:val="000B064E"/>
    <w:rsid w:val="000B09B3"/>
    <w:rsid w:val="000B09CF"/>
    <w:rsid w:val="000B0BDB"/>
    <w:rsid w:val="000B0E44"/>
    <w:rsid w:val="000B309A"/>
    <w:rsid w:val="000B452C"/>
    <w:rsid w:val="000B7443"/>
    <w:rsid w:val="000C3E17"/>
    <w:rsid w:val="000C4F41"/>
    <w:rsid w:val="000C4F4F"/>
    <w:rsid w:val="000C5E0F"/>
    <w:rsid w:val="000C7888"/>
    <w:rsid w:val="000D0670"/>
    <w:rsid w:val="000E5B4B"/>
    <w:rsid w:val="000E636C"/>
    <w:rsid w:val="000F07D4"/>
    <w:rsid w:val="000F23D6"/>
    <w:rsid w:val="000F36CA"/>
    <w:rsid w:val="0010774A"/>
    <w:rsid w:val="00110D57"/>
    <w:rsid w:val="00112DC4"/>
    <w:rsid w:val="00126267"/>
    <w:rsid w:val="00126B0B"/>
    <w:rsid w:val="00130A43"/>
    <w:rsid w:val="0013691A"/>
    <w:rsid w:val="001416B7"/>
    <w:rsid w:val="00152E4C"/>
    <w:rsid w:val="00155251"/>
    <w:rsid w:val="00162E51"/>
    <w:rsid w:val="00171E5C"/>
    <w:rsid w:val="00176B21"/>
    <w:rsid w:val="00185B3E"/>
    <w:rsid w:val="001863EE"/>
    <w:rsid w:val="00187B84"/>
    <w:rsid w:val="00192AC3"/>
    <w:rsid w:val="001955F6"/>
    <w:rsid w:val="001A016D"/>
    <w:rsid w:val="001A1360"/>
    <w:rsid w:val="001A185C"/>
    <w:rsid w:val="001A2A57"/>
    <w:rsid w:val="001A7BFD"/>
    <w:rsid w:val="001B4239"/>
    <w:rsid w:val="001C7729"/>
    <w:rsid w:val="001E1936"/>
    <w:rsid w:val="001E4B69"/>
    <w:rsid w:val="001F1CA5"/>
    <w:rsid w:val="00200741"/>
    <w:rsid w:val="00205EAF"/>
    <w:rsid w:val="0021035F"/>
    <w:rsid w:val="00210EFF"/>
    <w:rsid w:val="0021178C"/>
    <w:rsid w:val="0021516A"/>
    <w:rsid w:val="00215C90"/>
    <w:rsid w:val="00221C40"/>
    <w:rsid w:val="00232A9B"/>
    <w:rsid w:val="00236C53"/>
    <w:rsid w:val="002426BD"/>
    <w:rsid w:val="002428C8"/>
    <w:rsid w:val="00242FFB"/>
    <w:rsid w:val="00254E9C"/>
    <w:rsid w:val="00257B2F"/>
    <w:rsid w:val="0026254E"/>
    <w:rsid w:val="002635D8"/>
    <w:rsid w:val="00265E8B"/>
    <w:rsid w:val="00265EC6"/>
    <w:rsid w:val="00272E56"/>
    <w:rsid w:val="00273A34"/>
    <w:rsid w:val="002763F5"/>
    <w:rsid w:val="00277DBA"/>
    <w:rsid w:val="00286A63"/>
    <w:rsid w:val="002A03E4"/>
    <w:rsid w:val="002A1E1C"/>
    <w:rsid w:val="002A1EC2"/>
    <w:rsid w:val="002A65C8"/>
    <w:rsid w:val="002A7D6F"/>
    <w:rsid w:val="002B16F5"/>
    <w:rsid w:val="002C73C0"/>
    <w:rsid w:val="002D0692"/>
    <w:rsid w:val="002D24A3"/>
    <w:rsid w:val="002D4FF1"/>
    <w:rsid w:val="002D6172"/>
    <w:rsid w:val="002E4957"/>
    <w:rsid w:val="002E766F"/>
    <w:rsid w:val="002F432B"/>
    <w:rsid w:val="002F56E2"/>
    <w:rsid w:val="00300D8D"/>
    <w:rsid w:val="00302674"/>
    <w:rsid w:val="00304356"/>
    <w:rsid w:val="003059A0"/>
    <w:rsid w:val="00305A01"/>
    <w:rsid w:val="003064E0"/>
    <w:rsid w:val="003110CD"/>
    <w:rsid w:val="00315494"/>
    <w:rsid w:val="003156C9"/>
    <w:rsid w:val="00315DE6"/>
    <w:rsid w:val="00322F4F"/>
    <w:rsid w:val="00323873"/>
    <w:rsid w:val="003278EC"/>
    <w:rsid w:val="00330DB9"/>
    <w:rsid w:val="00331B88"/>
    <w:rsid w:val="00337CE6"/>
    <w:rsid w:val="00340F48"/>
    <w:rsid w:val="00343554"/>
    <w:rsid w:val="00346289"/>
    <w:rsid w:val="00346DD9"/>
    <w:rsid w:val="00346DDB"/>
    <w:rsid w:val="00352C23"/>
    <w:rsid w:val="003532CA"/>
    <w:rsid w:val="00362068"/>
    <w:rsid w:val="00363CC3"/>
    <w:rsid w:val="00367458"/>
    <w:rsid w:val="0037265B"/>
    <w:rsid w:val="00375407"/>
    <w:rsid w:val="003838A8"/>
    <w:rsid w:val="003900D3"/>
    <w:rsid w:val="00391480"/>
    <w:rsid w:val="00397924"/>
    <w:rsid w:val="003A0B02"/>
    <w:rsid w:val="003A2448"/>
    <w:rsid w:val="003A2CCD"/>
    <w:rsid w:val="003B7830"/>
    <w:rsid w:val="003C0D69"/>
    <w:rsid w:val="003C2333"/>
    <w:rsid w:val="003C3E1C"/>
    <w:rsid w:val="003C45AE"/>
    <w:rsid w:val="003D03C5"/>
    <w:rsid w:val="003D759B"/>
    <w:rsid w:val="003E57F6"/>
    <w:rsid w:val="003E5C90"/>
    <w:rsid w:val="003E606A"/>
    <w:rsid w:val="003F6DD8"/>
    <w:rsid w:val="00401CA5"/>
    <w:rsid w:val="00405FBB"/>
    <w:rsid w:val="004237E0"/>
    <w:rsid w:val="00427370"/>
    <w:rsid w:val="00430ABA"/>
    <w:rsid w:val="00431F44"/>
    <w:rsid w:val="00433FD1"/>
    <w:rsid w:val="0044165A"/>
    <w:rsid w:val="0044316F"/>
    <w:rsid w:val="00443DF4"/>
    <w:rsid w:val="00447F7B"/>
    <w:rsid w:val="00454796"/>
    <w:rsid w:val="00454AC8"/>
    <w:rsid w:val="00455E39"/>
    <w:rsid w:val="004637F4"/>
    <w:rsid w:val="00465532"/>
    <w:rsid w:val="00465B10"/>
    <w:rsid w:val="00474390"/>
    <w:rsid w:val="0047482B"/>
    <w:rsid w:val="00480061"/>
    <w:rsid w:val="0048215E"/>
    <w:rsid w:val="00485A98"/>
    <w:rsid w:val="004867CF"/>
    <w:rsid w:val="00486884"/>
    <w:rsid w:val="004934E9"/>
    <w:rsid w:val="0049430B"/>
    <w:rsid w:val="0049549A"/>
    <w:rsid w:val="0049774D"/>
    <w:rsid w:val="004A15A0"/>
    <w:rsid w:val="004A5CFE"/>
    <w:rsid w:val="004A6105"/>
    <w:rsid w:val="004B157C"/>
    <w:rsid w:val="004B45D2"/>
    <w:rsid w:val="004C208F"/>
    <w:rsid w:val="004C5EC8"/>
    <w:rsid w:val="004D5E3A"/>
    <w:rsid w:val="004E210C"/>
    <w:rsid w:val="004F332A"/>
    <w:rsid w:val="00502C8E"/>
    <w:rsid w:val="00505B6D"/>
    <w:rsid w:val="005111BB"/>
    <w:rsid w:val="00513C3F"/>
    <w:rsid w:val="0051657B"/>
    <w:rsid w:val="00517B07"/>
    <w:rsid w:val="00521E8E"/>
    <w:rsid w:val="00524E1F"/>
    <w:rsid w:val="005251E9"/>
    <w:rsid w:val="00525F53"/>
    <w:rsid w:val="0052629E"/>
    <w:rsid w:val="00527ED5"/>
    <w:rsid w:val="00533462"/>
    <w:rsid w:val="00533659"/>
    <w:rsid w:val="0053392D"/>
    <w:rsid w:val="00536E7A"/>
    <w:rsid w:val="0054014E"/>
    <w:rsid w:val="00547456"/>
    <w:rsid w:val="005530F3"/>
    <w:rsid w:val="00556C58"/>
    <w:rsid w:val="0056491A"/>
    <w:rsid w:val="00567606"/>
    <w:rsid w:val="00571096"/>
    <w:rsid w:val="005733FD"/>
    <w:rsid w:val="00573967"/>
    <w:rsid w:val="00573B31"/>
    <w:rsid w:val="00573E22"/>
    <w:rsid w:val="00574A3C"/>
    <w:rsid w:val="005807F9"/>
    <w:rsid w:val="00581BD3"/>
    <w:rsid w:val="00583B20"/>
    <w:rsid w:val="00585755"/>
    <w:rsid w:val="00586851"/>
    <w:rsid w:val="005974D1"/>
    <w:rsid w:val="005A0E27"/>
    <w:rsid w:val="005A76C3"/>
    <w:rsid w:val="005B1E1C"/>
    <w:rsid w:val="005B2A61"/>
    <w:rsid w:val="005B4750"/>
    <w:rsid w:val="005C5B4E"/>
    <w:rsid w:val="005D2417"/>
    <w:rsid w:val="005D2718"/>
    <w:rsid w:val="005D753C"/>
    <w:rsid w:val="005E2047"/>
    <w:rsid w:val="005E2488"/>
    <w:rsid w:val="005E6AE9"/>
    <w:rsid w:val="005E7774"/>
    <w:rsid w:val="005E7C3B"/>
    <w:rsid w:val="005F0784"/>
    <w:rsid w:val="005F1279"/>
    <w:rsid w:val="005F3EE6"/>
    <w:rsid w:val="00600B2C"/>
    <w:rsid w:val="006014C4"/>
    <w:rsid w:val="00602AB9"/>
    <w:rsid w:val="00602D77"/>
    <w:rsid w:val="00612415"/>
    <w:rsid w:val="00612588"/>
    <w:rsid w:val="00616057"/>
    <w:rsid w:val="00616E20"/>
    <w:rsid w:val="00617D2F"/>
    <w:rsid w:val="00625692"/>
    <w:rsid w:val="00637DB5"/>
    <w:rsid w:val="00641207"/>
    <w:rsid w:val="0064404D"/>
    <w:rsid w:val="00656044"/>
    <w:rsid w:val="0065731E"/>
    <w:rsid w:val="00660F6F"/>
    <w:rsid w:val="006622B0"/>
    <w:rsid w:val="00665522"/>
    <w:rsid w:val="0066574B"/>
    <w:rsid w:val="00682C72"/>
    <w:rsid w:val="00694DAE"/>
    <w:rsid w:val="0069665E"/>
    <w:rsid w:val="006A2BB2"/>
    <w:rsid w:val="006B5E66"/>
    <w:rsid w:val="006C6EA6"/>
    <w:rsid w:val="006D2594"/>
    <w:rsid w:val="006D53E3"/>
    <w:rsid w:val="006E0C47"/>
    <w:rsid w:val="006E1DD2"/>
    <w:rsid w:val="006E29A4"/>
    <w:rsid w:val="006E54E3"/>
    <w:rsid w:val="006E6C73"/>
    <w:rsid w:val="006F443C"/>
    <w:rsid w:val="006F5DF7"/>
    <w:rsid w:val="0070202C"/>
    <w:rsid w:val="0070434B"/>
    <w:rsid w:val="00706EA7"/>
    <w:rsid w:val="0071289D"/>
    <w:rsid w:val="00715EF9"/>
    <w:rsid w:val="00717D0D"/>
    <w:rsid w:val="00721E3A"/>
    <w:rsid w:val="0072356D"/>
    <w:rsid w:val="00724BE0"/>
    <w:rsid w:val="00725276"/>
    <w:rsid w:val="0073287B"/>
    <w:rsid w:val="007328BA"/>
    <w:rsid w:val="00741940"/>
    <w:rsid w:val="00742263"/>
    <w:rsid w:val="00745DAD"/>
    <w:rsid w:val="00756823"/>
    <w:rsid w:val="00760D25"/>
    <w:rsid w:val="00761655"/>
    <w:rsid w:val="00763E44"/>
    <w:rsid w:val="007654F4"/>
    <w:rsid w:val="0076591E"/>
    <w:rsid w:val="00774D59"/>
    <w:rsid w:val="00775558"/>
    <w:rsid w:val="0077668B"/>
    <w:rsid w:val="00783E19"/>
    <w:rsid w:val="00784EF0"/>
    <w:rsid w:val="0079086B"/>
    <w:rsid w:val="007928A5"/>
    <w:rsid w:val="00792C4B"/>
    <w:rsid w:val="00793D75"/>
    <w:rsid w:val="007967D7"/>
    <w:rsid w:val="00796D3E"/>
    <w:rsid w:val="007A12E0"/>
    <w:rsid w:val="007A70AA"/>
    <w:rsid w:val="007B53EA"/>
    <w:rsid w:val="007B66BD"/>
    <w:rsid w:val="007B688C"/>
    <w:rsid w:val="007C0E93"/>
    <w:rsid w:val="007C3645"/>
    <w:rsid w:val="007C5C29"/>
    <w:rsid w:val="007D4519"/>
    <w:rsid w:val="007D550E"/>
    <w:rsid w:val="007E12CC"/>
    <w:rsid w:val="007E3857"/>
    <w:rsid w:val="007F0C15"/>
    <w:rsid w:val="007F13EA"/>
    <w:rsid w:val="007F5407"/>
    <w:rsid w:val="008000B7"/>
    <w:rsid w:val="00800CBB"/>
    <w:rsid w:val="008051E4"/>
    <w:rsid w:val="00807AD9"/>
    <w:rsid w:val="00812D3D"/>
    <w:rsid w:val="00815286"/>
    <w:rsid w:val="008255CF"/>
    <w:rsid w:val="00830C40"/>
    <w:rsid w:val="00837134"/>
    <w:rsid w:val="0083788E"/>
    <w:rsid w:val="008419AE"/>
    <w:rsid w:val="0084658F"/>
    <w:rsid w:val="00852173"/>
    <w:rsid w:val="00855AF9"/>
    <w:rsid w:val="00857332"/>
    <w:rsid w:val="00864117"/>
    <w:rsid w:val="00875E69"/>
    <w:rsid w:val="008803D2"/>
    <w:rsid w:val="00880928"/>
    <w:rsid w:val="00881594"/>
    <w:rsid w:val="00883F9E"/>
    <w:rsid w:val="00885D7C"/>
    <w:rsid w:val="00891557"/>
    <w:rsid w:val="008A00F5"/>
    <w:rsid w:val="008A3297"/>
    <w:rsid w:val="008A4408"/>
    <w:rsid w:val="008B207D"/>
    <w:rsid w:val="008B5D8C"/>
    <w:rsid w:val="008C01EB"/>
    <w:rsid w:val="008C2206"/>
    <w:rsid w:val="008C46C7"/>
    <w:rsid w:val="008E3FFA"/>
    <w:rsid w:val="008E5BFC"/>
    <w:rsid w:val="008F0502"/>
    <w:rsid w:val="008F15EA"/>
    <w:rsid w:val="008F48C6"/>
    <w:rsid w:val="00900C33"/>
    <w:rsid w:val="0091238C"/>
    <w:rsid w:val="00931A18"/>
    <w:rsid w:val="00932AF6"/>
    <w:rsid w:val="0094226B"/>
    <w:rsid w:val="00944B2F"/>
    <w:rsid w:val="00951244"/>
    <w:rsid w:val="00955B1B"/>
    <w:rsid w:val="00957FCE"/>
    <w:rsid w:val="00961737"/>
    <w:rsid w:val="00964C05"/>
    <w:rsid w:val="00965FF2"/>
    <w:rsid w:val="00973A5C"/>
    <w:rsid w:val="00983BA3"/>
    <w:rsid w:val="0098601A"/>
    <w:rsid w:val="00987A94"/>
    <w:rsid w:val="00994D08"/>
    <w:rsid w:val="00995102"/>
    <w:rsid w:val="00995B69"/>
    <w:rsid w:val="009A594E"/>
    <w:rsid w:val="009B559A"/>
    <w:rsid w:val="009B56B5"/>
    <w:rsid w:val="009B5B0A"/>
    <w:rsid w:val="009C15A5"/>
    <w:rsid w:val="009C2585"/>
    <w:rsid w:val="009C2FC8"/>
    <w:rsid w:val="009C6D2B"/>
    <w:rsid w:val="009D3272"/>
    <w:rsid w:val="009D4BC8"/>
    <w:rsid w:val="009D5867"/>
    <w:rsid w:val="009D5CF3"/>
    <w:rsid w:val="009D6077"/>
    <w:rsid w:val="009D6329"/>
    <w:rsid w:val="009E3375"/>
    <w:rsid w:val="009E3E4F"/>
    <w:rsid w:val="009F0431"/>
    <w:rsid w:val="009F068B"/>
    <w:rsid w:val="009F4B7F"/>
    <w:rsid w:val="009F6211"/>
    <w:rsid w:val="00A10F7A"/>
    <w:rsid w:val="00A1290A"/>
    <w:rsid w:val="00A175ED"/>
    <w:rsid w:val="00A35B2F"/>
    <w:rsid w:val="00A44529"/>
    <w:rsid w:val="00A46894"/>
    <w:rsid w:val="00A46CA1"/>
    <w:rsid w:val="00A47C16"/>
    <w:rsid w:val="00A70E36"/>
    <w:rsid w:val="00A72B34"/>
    <w:rsid w:val="00A74321"/>
    <w:rsid w:val="00A84AD3"/>
    <w:rsid w:val="00A86082"/>
    <w:rsid w:val="00A92DBA"/>
    <w:rsid w:val="00A93D08"/>
    <w:rsid w:val="00AA1A51"/>
    <w:rsid w:val="00AA4FBB"/>
    <w:rsid w:val="00AA50BA"/>
    <w:rsid w:val="00AA54A5"/>
    <w:rsid w:val="00AB073E"/>
    <w:rsid w:val="00AB424F"/>
    <w:rsid w:val="00AB42F8"/>
    <w:rsid w:val="00AB6023"/>
    <w:rsid w:val="00AB6091"/>
    <w:rsid w:val="00AC0CE6"/>
    <w:rsid w:val="00AC1418"/>
    <w:rsid w:val="00AC4207"/>
    <w:rsid w:val="00AC77A7"/>
    <w:rsid w:val="00AD1037"/>
    <w:rsid w:val="00AD1511"/>
    <w:rsid w:val="00AD4485"/>
    <w:rsid w:val="00AE11A4"/>
    <w:rsid w:val="00AE7D93"/>
    <w:rsid w:val="00AF03A9"/>
    <w:rsid w:val="00AF1115"/>
    <w:rsid w:val="00AF35F8"/>
    <w:rsid w:val="00AF377D"/>
    <w:rsid w:val="00AF3F09"/>
    <w:rsid w:val="00B02029"/>
    <w:rsid w:val="00B12DE3"/>
    <w:rsid w:val="00B140FF"/>
    <w:rsid w:val="00B25303"/>
    <w:rsid w:val="00B27C66"/>
    <w:rsid w:val="00B3141A"/>
    <w:rsid w:val="00B3194A"/>
    <w:rsid w:val="00B339DD"/>
    <w:rsid w:val="00B368A0"/>
    <w:rsid w:val="00B40C68"/>
    <w:rsid w:val="00B44069"/>
    <w:rsid w:val="00B51400"/>
    <w:rsid w:val="00B52491"/>
    <w:rsid w:val="00B53B6F"/>
    <w:rsid w:val="00B560C5"/>
    <w:rsid w:val="00B562EA"/>
    <w:rsid w:val="00B60DF5"/>
    <w:rsid w:val="00B622DD"/>
    <w:rsid w:val="00B6525C"/>
    <w:rsid w:val="00B731CE"/>
    <w:rsid w:val="00B805D8"/>
    <w:rsid w:val="00B864D7"/>
    <w:rsid w:val="00B9758B"/>
    <w:rsid w:val="00B97D9D"/>
    <w:rsid w:val="00BA3896"/>
    <w:rsid w:val="00BA4C18"/>
    <w:rsid w:val="00BA5982"/>
    <w:rsid w:val="00BB18B5"/>
    <w:rsid w:val="00BB3E08"/>
    <w:rsid w:val="00BE15A9"/>
    <w:rsid w:val="00BE44CC"/>
    <w:rsid w:val="00BE5C54"/>
    <w:rsid w:val="00BE7C23"/>
    <w:rsid w:val="00BF073F"/>
    <w:rsid w:val="00BF0920"/>
    <w:rsid w:val="00BF3F8B"/>
    <w:rsid w:val="00C01FD8"/>
    <w:rsid w:val="00C025C2"/>
    <w:rsid w:val="00C04012"/>
    <w:rsid w:val="00C067BD"/>
    <w:rsid w:val="00C1268F"/>
    <w:rsid w:val="00C141E1"/>
    <w:rsid w:val="00C17199"/>
    <w:rsid w:val="00C17239"/>
    <w:rsid w:val="00C17FA2"/>
    <w:rsid w:val="00C21614"/>
    <w:rsid w:val="00C216E2"/>
    <w:rsid w:val="00C220E7"/>
    <w:rsid w:val="00C237E9"/>
    <w:rsid w:val="00C31F63"/>
    <w:rsid w:val="00C33D64"/>
    <w:rsid w:val="00C413CD"/>
    <w:rsid w:val="00C437CC"/>
    <w:rsid w:val="00C448BF"/>
    <w:rsid w:val="00C51C00"/>
    <w:rsid w:val="00C57BDA"/>
    <w:rsid w:val="00C62F15"/>
    <w:rsid w:val="00C6452B"/>
    <w:rsid w:val="00C846B1"/>
    <w:rsid w:val="00C8484B"/>
    <w:rsid w:val="00C86576"/>
    <w:rsid w:val="00C871BE"/>
    <w:rsid w:val="00C90C0D"/>
    <w:rsid w:val="00C914B2"/>
    <w:rsid w:val="00C91CFF"/>
    <w:rsid w:val="00C93182"/>
    <w:rsid w:val="00C93739"/>
    <w:rsid w:val="00C95650"/>
    <w:rsid w:val="00C96F34"/>
    <w:rsid w:val="00CA4786"/>
    <w:rsid w:val="00CC6982"/>
    <w:rsid w:val="00CC6A6C"/>
    <w:rsid w:val="00CC7767"/>
    <w:rsid w:val="00CD077A"/>
    <w:rsid w:val="00CD5F4A"/>
    <w:rsid w:val="00CD6453"/>
    <w:rsid w:val="00CD680C"/>
    <w:rsid w:val="00CE57A4"/>
    <w:rsid w:val="00D05937"/>
    <w:rsid w:val="00D22568"/>
    <w:rsid w:val="00D24F78"/>
    <w:rsid w:val="00D31D5B"/>
    <w:rsid w:val="00D34CF0"/>
    <w:rsid w:val="00D35DAA"/>
    <w:rsid w:val="00D40734"/>
    <w:rsid w:val="00D41252"/>
    <w:rsid w:val="00D412BB"/>
    <w:rsid w:val="00D518C1"/>
    <w:rsid w:val="00D53292"/>
    <w:rsid w:val="00D616DD"/>
    <w:rsid w:val="00D644E5"/>
    <w:rsid w:val="00D735E8"/>
    <w:rsid w:val="00D76F7A"/>
    <w:rsid w:val="00D81A29"/>
    <w:rsid w:val="00D8353B"/>
    <w:rsid w:val="00D83A63"/>
    <w:rsid w:val="00D841BC"/>
    <w:rsid w:val="00D85E9B"/>
    <w:rsid w:val="00D85FBE"/>
    <w:rsid w:val="00D933BB"/>
    <w:rsid w:val="00D975BD"/>
    <w:rsid w:val="00DA08E5"/>
    <w:rsid w:val="00DA665D"/>
    <w:rsid w:val="00DA7800"/>
    <w:rsid w:val="00DB0430"/>
    <w:rsid w:val="00DB2643"/>
    <w:rsid w:val="00DB4133"/>
    <w:rsid w:val="00DB59C8"/>
    <w:rsid w:val="00DB6D59"/>
    <w:rsid w:val="00DC0854"/>
    <w:rsid w:val="00DD3F54"/>
    <w:rsid w:val="00DE3EE2"/>
    <w:rsid w:val="00DE6B79"/>
    <w:rsid w:val="00DF08A6"/>
    <w:rsid w:val="00DF7B50"/>
    <w:rsid w:val="00E033E3"/>
    <w:rsid w:val="00E07039"/>
    <w:rsid w:val="00E111AF"/>
    <w:rsid w:val="00E1168E"/>
    <w:rsid w:val="00E208EB"/>
    <w:rsid w:val="00E2264A"/>
    <w:rsid w:val="00E24512"/>
    <w:rsid w:val="00E26F0B"/>
    <w:rsid w:val="00E33672"/>
    <w:rsid w:val="00E37CF2"/>
    <w:rsid w:val="00E4162D"/>
    <w:rsid w:val="00E41A72"/>
    <w:rsid w:val="00E41C09"/>
    <w:rsid w:val="00E535CA"/>
    <w:rsid w:val="00E5709C"/>
    <w:rsid w:val="00E611F7"/>
    <w:rsid w:val="00E64416"/>
    <w:rsid w:val="00E83C2D"/>
    <w:rsid w:val="00E84356"/>
    <w:rsid w:val="00E8779F"/>
    <w:rsid w:val="00E94CF8"/>
    <w:rsid w:val="00E966A7"/>
    <w:rsid w:val="00EB6D77"/>
    <w:rsid w:val="00EB7B24"/>
    <w:rsid w:val="00EC45DD"/>
    <w:rsid w:val="00EC470A"/>
    <w:rsid w:val="00ED0DFB"/>
    <w:rsid w:val="00ED4975"/>
    <w:rsid w:val="00EE0BAA"/>
    <w:rsid w:val="00EF5C99"/>
    <w:rsid w:val="00EF6E2F"/>
    <w:rsid w:val="00F00250"/>
    <w:rsid w:val="00F008C8"/>
    <w:rsid w:val="00F023CE"/>
    <w:rsid w:val="00F0683F"/>
    <w:rsid w:val="00F151C2"/>
    <w:rsid w:val="00F23C61"/>
    <w:rsid w:val="00F241A2"/>
    <w:rsid w:val="00F25758"/>
    <w:rsid w:val="00F338E4"/>
    <w:rsid w:val="00F35F2C"/>
    <w:rsid w:val="00F416BE"/>
    <w:rsid w:val="00F44B2C"/>
    <w:rsid w:val="00F47AFD"/>
    <w:rsid w:val="00F47FB8"/>
    <w:rsid w:val="00F5392D"/>
    <w:rsid w:val="00F64B35"/>
    <w:rsid w:val="00F65E2E"/>
    <w:rsid w:val="00F70E55"/>
    <w:rsid w:val="00F8215E"/>
    <w:rsid w:val="00F942EA"/>
    <w:rsid w:val="00FA4462"/>
    <w:rsid w:val="00FB30DD"/>
    <w:rsid w:val="00FB4184"/>
    <w:rsid w:val="00FC1948"/>
    <w:rsid w:val="00FC4F29"/>
    <w:rsid w:val="00FD3338"/>
    <w:rsid w:val="00FD41CD"/>
    <w:rsid w:val="00FE04B8"/>
    <w:rsid w:val="00FE23BD"/>
    <w:rsid w:val="00FE3003"/>
    <w:rsid w:val="00FE5578"/>
    <w:rsid w:val="00FE715C"/>
    <w:rsid w:val="00FF70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5D91C83"/>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F41"/>
    <w:rPr>
      <w:rFonts w:ascii="Times" w:hAnsi="Times"/>
      <w:sz w:val="20"/>
      <w:szCs w:val="20"/>
    </w:rPr>
  </w:style>
  <w:style w:type="paragraph" w:styleId="Heading2">
    <w:name w:val="heading 2"/>
    <w:basedOn w:val="Normal"/>
    <w:next w:val="Normal"/>
    <w:link w:val="Heading2Char"/>
    <w:uiPriority w:val="9"/>
    <w:semiHidden/>
    <w:unhideWhenUsed/>
    <w:qFormat/>
    <w:rsid w:val="00C141E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link w:val="Heading3Char"/>
    <w:uiPriority w:val="9"/>
    <w:unhideWhenUsed/>
    <w:qFormat/>
    <w:rsid w:val="00C141E1"/>
    <w:pPr>
      <w:spacing w:beforeAutospacing="1" w:afterAutospacing="1" w:line="480" w:lineRule="auto"/>
      <w:outlineLvl w:val="2"/>
    </w:pPr>
    <w:rPr>
      <w:rFonts w:ascii="Times New Roman" w:hAnsi="Times New Roman"/>
      <w:bCs w:val="0"/>
      <w:color w:val="auto"/>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1E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141E1"/>
    <w:rPr>
      <w:rFonts w:ascii="Times New Roman" w:eastAsiaTheme="majorEastAsia" w:hAnsi="Times New Roman" w:cstheme="majorBidi"/>
      <w:b/>
      <w:szCs w:val="26"/>
      <w:lang w:val="id-ID"/>
    </w:rPr>
  </w:style>
  <w:style w:type="paragraph" w:styleId="ListParagraph">
    <w:name w:val="List Paragraph"/>
    <w:basedOn w:val="Normal"/>
    <w:link w:val="ListParagraphChar"/>
    <w:uiPriority w:val="34"/>
    <w:qFormat/>
    <w:rsid w:val="003D03C5"/>
    <w:pPr>
      <w:ind w:left="720"/>
      <w:contextualSpacing/>
    </w:pPr>
    <w:rPr>
      <w:rFonts w:ascii="Calibri" w:eastAsia="Times New Roman" w:hAnsi="Calibri" w:cs="Times New Roman"/>
      <w:sz w:val="24"/>
      <w:szCs w:val="24"/>
    </w:rPr>
  </w:style>
  <w:style w:type="character" w:customStyle="1" w:styleId="ListParagraphChar">
    <w:name w:val="List Paragraph Char"/>
    <w:link w:val="ListParagraph"/>
    <w:uiPriority w:val="34"/>
    <w:rsid w:val="003D03C5"/>
    <w:rPr>
      <w:rFonts w:ascii="Calibri" w:eastAsia="Times New Roman" w:hAnsi="Calibri" w:cs="Times New Roman"/>
    </w:rPr>
  </w:style>
  <w:style w:type="character" w:customStyle="1" w:styleId="apple-converted-space">
    <w:name w:val="apple-converted-space"/>
    <w:basedOn w:val="DefaultParagraphFont"/>
    <w:rsid w:val="003D03C5"/>
  </w:style>
  <w:style w:type="paragraph" w:customStyle="1" w:styleId="BAB">
    <w:name w:val="BAB"/>
    <w:basedOn w:val="Normal"/>
    <w:link w:val="BABChar"/>
    <w:qFormat/>
    <w:rsid w:val="003D03C5"/>
    <w:pPr>
      <w:spacing w:line="360" w:lineRule="auto"/>
      <w:jc w:val="center"/>
    </w:pPr>
    <w:rPr>
      <w:rFonts w:ascii="Times New Roman" w:eastAsia="MS Mincho" w:hAnsi="Times New Roman" w:cs="Times New Roman"/>
      <w:b/>
      <w:sz w:val="24"/>
      <w:szCs w:val="24"/>
    </w:rPr>
  </w:style>
  <w:style w:type="character" w:customStyle="1" w:styleId="BABChar">
    <w:name w:val="BAB Char"/>
    <w:link w:val="BAB"/>
    <w:rsid w:val="003D03C5"/>
    <w:rPr>
      <w:rFonts w:ascii="Times New Roman" w:eastAsia="MS Mincho" w:hAnsi="Times New Roman" w:cs="Times New Roman"/>
      <w:b/>
    </w:rPr>
  </w:style>
  <w:style w:type="paragraph" w:styleId="BalloonText">
    <w:name w:val="Balloon Text"/>
    <w:basedOn w:val="Normal"/>
    <w:link w:val="BalloonTextChar"/>
    <w:uiPriority w:val="99"/>
    <w:semiHidden/>
    <w:unhideWhenUsed/>
    <w:rsid w:val="003D03C5"/>
    <w:rPr>
      <w:rFonts w:ascii="Lucida Grande" w:eastAsia="Calibri" w:hAnsi="Lucida Grande" w:cs="Lucida Grande"/>
      <w:sz w:val="18"/>
      <w:szCs w:val="18"/>
    </w:rPr>
  </w:style>
  <w:style w:type="character" w:customStyle="1" w:styleId="BalloonTextChar">
    <w:name w:val="Balloon Text Char"/>
    <w:basedOn w:val="DefaultParagraphFont"/>
    <w:link w:val="BalloonText"/>
    <w:uiPriority w:val="99"/>
    <w:semiHidden/>
    <w:rsid w:val="003D03C5"/>
    <w:rPr>
      <w:rFonts w:ascii="Lucida Grande" w:eastAsia="Calibri" w:hAnsi="Lucida Grande" w:cs="Lucida Grande"/>
      <w:sz w:val="18"/>
      <w:szCs w:val="18"/>
    </w:rPr>
  </w:style>
  <w:style w:type="paragraph" w:styleId="Header">
    <w:name w:val="header"/>
    <w:basedOn w:val="Normal"/>
    <w:link w:val="HeaderChar"/>
    <w:uiPriority w:val="99"/>
    <w:unhideWhenUsed/>
    <w:rsid w:val="003D03C5"/>
    <w:pPr>
      <w:tabs>
        <w:tab w:val="center" w:pos="4320"/>
        <w:tab w:val="right" w:pos="864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3D03C5"/>
    <w:rPr>
      <w:rFonts w:ascii="Calibri" w:eastAsia="Calibri" w:hAnsi="Calibri" w:cs="Times New Roman"/>
      <w:sz w:val="22"/>
      <w:szCs w:val="22"/>
    </w:rPr>
  </w:style>
  <w:style w:type="paragraph" w:styleId="Footer">
    <w:name w:val="footer"/>
    <w:basedOn w:val="Normal"/>
    <w:link w:val="FooterChar"/>
    <w:uiPriority w:val="99"/>
    <w:unhideWhenUsed/>
    <w:rsid w:val="003D03C5"/>
    <w:pPr>
      <w:tabs>
        <w:tab w:val="center" w:pos="4320"/>
        <w:tab w:val="right" w:pos="8640"/>
      </w:tabs>
    </w:pPr>
    <w:rPr>
      <w:rFonts w:ascii="Calibri" w:eastAsia="Calibri" w:hAnsi="Calibri" w:cs="Times New Roman"/>
      <w:sz w:val="22"/>
      <w:szCs w:val="22"/>
    </w:rPr>
  </w:style>
  <w:style w:type="character" w:customStyle="1" w:styleId="FooterChar">
    <w:name w:val="Footer Char"/>
    <w:basedOn w:val="DefaultParagraphFont"/>
    <w:link w:val="Footer"/>
    <w:uiPriority w:val="99"/>
    <w:rsid w:val="003D03C5"/>
    <w:rPr>
      <w:rFonts w:ascii="Calibri" w:eastAsia="Calibri" w:hAnsi="Calibri" w:cs="Times New Roman"/>
      <w:sz w:val="22"/>
      <w:szCs w:val="22"/>
    </w:rPr>
  </w:style>
  <w:style w:type="table" w:styleId="TableGrid">
    <w:name w:val="Table Grid"/>
    <w:basedOn w:val="TableNormal"/>
    <w:uiPriority w:val="39"/>
    <w:rsid w:val="00C040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FE715C"/>
  </w:style>
  <w:style w:type="character" w:styleId="Hyperlink">
    <w:name w:val="Hyperlink"/>
    <w:basedOn w:val="DefaultParagraphFont"/>
    <w:uiPriority w:val="99"/>
    <w:unhideWhenUsed/>
    <w:rsid w:val="00C141E1"/>
    <w:rPr>
      <w:color w:val="0000FF" w:themeColor="hyperlink"/>
      <w:u w:val="single"/>
    </w:rPr>
  </w:style>
  <w:style w:type="paragraph" w:customStyle="1" w:styleId="EndNoteBibliographyTitle">
    <w:name w:val="EndNote Bibliography Title"/>
    <w:basedOn w:val="Normal"/>
    <w:link w:val="EndNoteBibliographyTitleChar"/>
    <w:rsid w:val="005D2718"/>
    <w:pPr>
      <w:spacing w:line="259" w:lineRule="auto"/>
      <w:jc w:val="center"/>
    </w:pPr>
    <w:rPr>
      <w:rFonts w:ascii="Calibri" w:eastAsiaTheme="minorHAnsi" w:hAnsi="Calibri" w:cs="Calibri"/>
      <w:noProof/>
      <w:sz w:val="22"/>
      <w:szCs w:val="22"/>
    </w:rPr>
  </w:style>
  <w:style w:type="character" w:customStyle="1" w:styleId="EndNoteBibliographyTitleChar">
    <w:name w:val="EndNote Bibliography Title Char"/>
    <w:basedOn w:val="DefaultParagraphFont"/>
    <w:link w:val="EndNoteBibliographyTitle"/>
    <w:rsid w:val="005D2718"/>
    <w:rPr>
      <w:rFonts w:ascii="Calibri" w:eastAsiaTheme="minorHAnsi" w:hAnsi="Calibri" w:cs="Calibri"/>
      <w:noProof/>
      <w:sz w:val="22"/>
      <w:szCs w:val="22"/>
    </w:rPr>
  </w:style>
  <w:style w:type="paragraph" w:customStyle="1" w:styleId="EndNoteBibliography">
    <w:name w:val="EndNote Bibliography"/>
    <w:basedOn w:val="Normal"/>
    <w:link w:val="EndNoteBibliographyChar"/>
    <w:rsid w:val="005D2718"/>
    <w:pPr>
      <w:spacing w:after="160"/>
      <w:jc w:val="both"/>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5D2718"/>
    <w:rPr>
      <w:rFonts w:ascii="Calibri" w:eastAsiaTheme="minorHAnsi" w:hAnsi="Calibri" w:cs="Calibri"/>
      <w:noProof/>
      <w:sz w:val="22"/>
      <w:szCs w:val="22"/>
    </w:rPr>
  </w:style>
  <w:style w:type="character" w:styleId="Strong">
    <w:name w:val="Strong"/>
    <w:basedOn w:val="DefaultParagraphFont"/>
    <w:uiPriority w:val="22"/>
    <w:qFormat/>
    <w:rsid w:val="005D2718"/>
    <w:rPr>
      <w:b/>
      <w:bCs/>
    </w:rPr>
  </w:style>
  <w:style w:type="paragraph" w:styleId="NoSpacing">
    <w:name w:val="No Spacing"/>
    <w:uiPriority w:val="1"/>
    <w:qFormat/>
    <w:rsid w:val="005D2718"/>
    <w:rPr>
      <w:rFonts w:eastAsiaTheme="minorHAnsi"/>
      <w:sz w:val="22"/>
      <w:szCs w:val="22"/>
      <w:lang w:val="id-ID"/>
    </w:rPr>
  </w:style>
  <w:style w:type="paragraph" w:customStyle="1" w:styleId="EndNoteCategoryHeading">
    <w:name w:val="EndNote Category Heading"/>
    <w:basedOn w:val="Normal"/>
    <w:link w:val="EndNoteCategoryHeadingChar"/>
    <w:rsid w:val="005D2718"/>
    <w:pPr>
      <w:spacing w:before="120" w:after="120" w:line="259" w:lineRule="auto"/>
    </w:pPr>
    <w:rPr>
      <w:rFonts w:asciiTheme="minorHAnsi" w:eastAsiaTheme="minorHAnsi" w:hAnsiTheme="minorHAnsi"/>
      <w:b/>
      <w:noProof/>
      <w:sz w:val="22"/>
      <w:szCs w:val="22"/>
    </w:rPr>
  </w:style>
  <w:style w:type="character" w:customStyle="1" w:styleId="EndNoteCategoryHeadingChar">
    <w:name w:val="EndNote Category Heading Char"/>
    <w:basedOn w:val="DefaultParagraphFont"/>
    <w:link w:val="EndNoteCategoryHeading"/>
    <w:rsid w:val="005D2718"/>
    <w:rPr>
      <w:rFonts w:eastAsiaTheme="minorHAnsi"/>
      <w:b/>
      <w:noProof/>
      <w:sz w:val="22"/>
      <w:szCs w:val="22"/>
    </w:rPr>
  </w:style>
  <w:style w:type="character" w:customStyle="1" w:styleId="cit">
    <w:name w:val="cit"/>
    <w:basedOn w:val="DefaultParagraphFont"/>
    <w:rsid w:val="005D2718"/>
  </w:style>
  <w:style w:type="character" w:customStyle="1" w:styleId="highwire-cite-metadata-journal">
    <w:name w:val="highwire-cite-metadata-journal"/>
    <w:basedOn w:val="DefaultParagraphFont"/>
    <w:rsid w:val="005D2718"/>
  </w:style>
  <w:style w:type="character" w:customStyle="1" w:styleId="highwire-cite-metadata-date">
    <w:name w:val="highwire-cite-metadata-date"/>
    <w:basedOn w:val="DefaultParagraphFont"/>
    <w:rsid w:val="005D2718"/>
  </w:style>
  <w:style w:type="character" w:customStyle="1" w:styleId="highwire-cite-metadata-volume-pages">
    <w:name w:val="highwire-cite-metadata-volume-pages"/>
    <w:basedOn w:val="DefaultParagraphFont"/>
    <w:rsid w:val="005D2718"/>
  </w:style>
  <w:style w:type="character" w:styleId="Emphasis">
    <w:name w:val="Emphasis"/>
    <w:basedOn w:val="DefaultParagraphFont"/>
    <w:uiPriority w:val="20"/>
    <w:qFormat/>
    <w:rsid w:val="005D2718"/>
    <w:rPr>
      <w:i/>
      <w:iCs/>
    </w:rPr>
  </w:style>
  <w:style w:type="character" w:customStyle="1" w:styleId="citationref">
    <w:name w:val="citationref"/>
    <w:basedOn w:val="DefaultParagraphFont"/>
    <w:rsid w:val="005D2718"/>
  </w:style>
  <w:style w:type="table" w:customStyle="1" w:styleId="TableGrid1">
    <w:name w:val="Table Grid1"/>
    <w:basedOn w:val="TableNormal"/>
    <w:next w:val="TableGrid"/>
    <w:uiPriority w:val="39"/>
    <w:rsid w:val="005D2718"/>
    <w:rPr>
      <w:rFonts w:ascii="Calibri" w:eastAsiaTheme="minorHAnsi" w:hAnsi="Calibri" w:cs="Times New Roman"/>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F41"/>
    <w:rPr>
      <w:rFonts w:ascii="Times" w:hAnsi="Times"/>
      <w:sz w:val="20"/>
      <w:szCs w:val="20"/>
    </w:rPr>
  </w:style>
  <w:style w:type="paragraph" w:styleId="Heading2">
    <w:name w:val="heading 2"/>
    <w:basedOn w:val="Normal"/>
    <w:next w:val="Normal"/>
    <w:link w:val="Heading2Char"/>
    <w:uiPriority w:val="9"/>
    <w:semiHidden/>
    <w:unhideWhenUsed/>
    <w:qFormat/>
    <w:rsid w:val="00C141E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Heading2"/>
    <w:link w:val="Heading3Char"/>
    <w:uiPriority w:val="9"/>
    <w:unhideWhenUsed/>
    <w:qFormat/>
    <w:rsid w:val="00C141E1"/>
    <w:pPr>
      <w:spacing w:beforeAutospacing="1" w:afterAutospacing="1" w:line="480" w:lineRule="auto"/>
      <w:outlineLvl w:val="2"/>
    </w:pPr>
    <w:rPr>
      <w:rFonts w:ascii="Times New Roman" w:hAnsi="Times New Roman"/>
      <w:bCs w:val="0"/>
      <w:color w:val="auto"/>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1E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141E1"/>
    <w:rPr>
      <w:rFonts w:ascii="Times New Roman" w:eastAsiaTheme="majorEastAsia" w:hAnsi="Times New Roman" w:cstheme="majorBidi"/>
      <w:b/>
      <w:szCs w:val="26"/>
      <w:lang w:val="id-ID"/>
    </w:rPr>
  </w:style>
  <w:style w:type="paragraph" w:styleId="ListParagraph">
    <w:name w:val="List Paragraph"/>
    <w:basedOn w:val="Normal"/>
    <w:link w:val="ListParagraphChar"/>
    <w:uiPriority w:val="34"/>
    <w:qFormat/>
    <w:rsid w:val="003D03C5"/>
    <w:pPr>
      <w:ind w:left="720"/>
      <w:contextualSpacing/>
    </w:pPr>
    <w:rPr>
      <w:rFonts w:ascii="Calibri" w:eastAsia="Times New Roman" w:hAnsi="Calibri" w:cs="Times New Roman"/>
      <w:sz w:val="24"/>
      <w:szCs w:val="24"/>
    </w:rPr>
  </w:style>
  <w:style w:type="character" w:customStyle="1" w:styleId="ListParagraphChar">
    <w:name w:val="List Paragraph Char"/>
    <w:link w:val="ListParagraph"/>
    <w:uiPriority w:val="34"/>
    <w:rsid w:val="003D03C5"/>
    <w:rPr>
      <w:rFonts w:ascii="Calibri" w:eastAsia="Times New Roman" w:hAnsi="Calibri" w:cs="Times New Roman"/>
    </w:rPr>
  </w:style>
  <w:style w:type="character" w:customStyle="1" w:styleId="apple-converted-space">
    <w:name w:val="apple-converted-space"/>
    <w:basedOn w:val="DefaultParagraphFont"/>
    <w:rsid w:val="003D03C5"/>
  </w:style>
  <w:style w:type="paragraph" w:customStyle="1" w:styleId="BAB">
    <w:name w:val="BAB"/>
    <w:basedOn w:val="Normal"/>
    <w:link w:val="BABChar"/>
    <w:qFormat/>
    <w:rsid w:val="003D03C5"/>
    <w:pPr>
      <w:spacing w:line="360" w:lineRule="auto"/>
      <w:jc w:val="center"/>
    </w:pPr>
    <w:rPr>
      <w:rFonts w:ascii="Times New Roman" w:eastAsia="MS Mincho" w:hAnsi="Times New Roman" w:cs="Times New Roman"/>
      <w:b/>
      <w:sz w:val="24"/>
      <w:szCs w:val="24"/>
    </w:rPr>
  </w:style>
  <w:style w:type="character" w:customStyle="1" w:styleId="BABChar">
    <w:name w:val="BAB Char"/>
    <w:link w:val="BAB"/>
    <w:rsid w:val="003D03C5"/>
    <w:rPr>
      <w:rFonts w:ascii="Times New Roman" w:eastAsia="MS Mincho" w:hAnsi="Times New Roman" w:cs="Times New Roman"/>
      <w:b/>
    </w:rPr>
  </w:style>
  <w:style w:type="paragraph" w:styleId="BalloonText">
    <w:name w:val="Balloon Text"/>
    <w:basedOn w:val="Normal"/>
    <w:link w:val="BalloonTextChar"/>
    <w:uiPriority w:val="99"/>
    <w:semiHidden/>
    <w:unhideWhenUsed/>
    <w:rsid w:val="003D03C5"/>
    <w:rPr>
      <w:rFonts w:ascii="Lucida Grande" w:eastAsia="Calibri" w:hAnsi="Lucida Grande" w:cs="Lucida Grande"/>
      <w:sz w:val="18"/>
      <w:szCs w:val="18"/>
    </w:rPr>
  </w:style>
  <w:style w:type="character" w:customStyle="1" w:styleId="BalloonTextChar">
    <w:name w:val="Balloon Text Char"/>
    <w:basedOn w:val="DefaultParagraphFont"/>
    <w:link w:val="BalloonText"/>
    <w:uiPriority w:val="99"/>
    <w:semiHidden/>
    <w:rsid w:val="003D03C5"/>
    <w:rPr>
      <w:rFonts w:ascii="Lucida Grande" w:eastAsia="Calibri" w:hAnsi="Lucida Grande" w:cs="Lucida Grande"/>
      <w:sz w:val="18"/>
      <w:szCs w:val="18"/>
    </w:rPr>
  </w:style>
  <w:style w:type="paragraph" w:styleId="Header">
    <w:name w:val="header"/>
    <w:basedOn w:val="Normal"/>
    <w:link w:val="HeaderChar"/>
    <w:uiPriority w:val="99"/>
    <w:unhideWhenUsed/>
    <w:rsid w:val="003D03C5"/>
    <w:pPr>
      <w:tabs>
        <w:tab w:val="center" w:pos="4320"/>
        <w:tab w:val="right" w:pos="864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3D03C5"/>
    <w:rPr>
      <w:rFonts w:ascii="Calibri" w:eastAsia="Calibri" w:hAnsi="Calibri" w:cs="Times New Roman"/>
      <w:sz w:val="22"/>
      <w:szCs w:val="22"/>
    </w:rPr>
  </w:style>
  <w:style w:type="paragraph" w:styleId="Footer">
    <w:name w:val="footer"/>
    <w:basedOn w:val="Normal"/>
    <w:link w:val="FooterChar"/>
    <w:uiPriority w:val="99"/>
    <w:unhideWhenUsed/>
    <w:rsid w:val="003D03C5"/>
    <w:pPr>
      <w:tabs>
        <w:tab w:val="center" w:pos="4320"/>
        <w:tab w:val="right" w:pos="8640"/>
      </w:tabs>
    </w:pPr>
    <w:rPr>
      <w:rFonts w:ascii="Calibri" w:eastAsia="Calibri" w:hAnsi="Calibri" w:cs="Times New Roman"/>
      <w:sz w:val="22"/>
      <w:szCs w:val="22"/>
    </w:rPr>
  </w:style>
  <w:style w:type="character" w:customStyle="1" w:styleId="FooterChar">
    <w:name w:val="Footer Char"/>
    <w:basedOn w:val="DefaultParagraphFont"/>
    <w:link w:val="Footer"/>
    <w:uiPriority w:val="99"/>
    <w:rsid w:val="003D03C5"/>
    <w:rPr>
      <w:rFonts w:ascii="Calibri" w:eastAsia="Calibri" w:hAnsi="Calibri" w:cs="Times New Roman"/>
      <w:sz w:val="22"/>
      <w:szCs w:val="22"/>
    </w:rPr>
  </w:style>
  <w:style w:type="table" w:styleId="TableGrid">
    <w:name w:val="Table Grid"/>
    <w:basedOn w:val="TableNormal"/>
    <w:uiPriority w:val="39"/>
    <w:rsid w:val="00C040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FE715C"/>
  </w:style>
  <w:style w:type="character" w:styleId="Hyperlink">
    <w:name w:val="Hyperlink"/>
    <w:basedOn w:val="DefaultParagraphFont"/>
    <w:uiPriority w:val="99"/>
    <w:unhideWhenUsed/>
    <w:rsid w:val="00C141E1"/>
    <w:rPr>
      <w:color w:val="0000FF" w:themeColor="hyperlink"/>
      <w:u w:val="single"/>
    </w:rPr>
  </w:style>
  <w:style w:type="paragraph" w:customStyle="1" w:styleId="EndNoteBibliographyTitle">
    <w:name w:val="EndNote Bibliography Title"/>
    <w:basedOn w:val="Normal"/>
    <w:link w:val="EndNoteBibliographyTitleChar"/>
    <w:rsid w:val="005D2718"/>
    <w:pPr>
      <w:spacing w:line="259" w:lineRule="auto"/>
      <w:jc w:val="center"/>
    </w:pPr>
    <w:rPr>
      <w:rFonts w:ascii="Calibri" w:eastAsiaTheme="minorHAnsi" w:hAnsi="Calibri" w:cs="Calibri"/>
      <w:noProof/>
      <w:sz w:val="22"/>
      <w:szCs w:val="22"/>
    </w:rPr>
  </w:style>
  <w:style w:type="character" w:customStyle="1" w:styleId="EndNoteBibliographyTitleChar">
    <w:name w:val="EndNote Bibliography Title Char"/>
    <w:basedOn w:val="DefaultParagraphFont"/>
    <w:link w:val="EndNoteBibliographyTitle"/>
    <w:rsid w:val="005D2718"/>
    <w:rPr>
      <w:rFonts w:ascii="Calibri" w:eastAsiaTheme="minorHAnsi" w:hAnsi="Calibri" w:cs="Calibri"/>
      <w:noProof/>
      <w:sz w:val="22"/>
      <w:szCs w:val="22"/>
    </w:rPr>
  </w:style>
  <w:style w:type="paragraph" w:customStyle="1" w:styleId="EndNoteBibliography">
    <w:name w:val="EndNote Bibliography"/>
    <w:basedOn w:val="Normal"/>
    <w:link w:val="EndNoteBibliographyChar"/>
    <w:rsid w:val="005D2718"/>
    <w:pPr>
      <w:spacing w:after="160"/>
      <w:jc w:val="both"/>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5D2718"/>
    <w:rPr>
      <w:rFonts w:ascii="Calibri" w:eastAsiaTheme="minorHAnsi" w:hAnsi="Calibri" w:cs="Calibri"/>
      <w:noProof/>
      <w:sz w:val="22"/>
      <w:szCs w:val="22"/>
    </w:rPr>
  </w:style>
  <w:style w:type="character" w:styleId="Strong">
    <w:name w:val="Strong"/>
    <w:basedOn w:val="DefaultParagraphFont"/>
    <w:uiPriority w:val="22"/>
    <w:qFormat/>
    <w:rsid w:val="005D2718"/>
    <w:rPr>
      <w:b/>
      <w:bCs/>
    </w:rPr>
  </w:style>
  <w:style w:type="paragraph" w:styleId="NoSpacing">
    <w:name w:val="No Spacing"/>
    <w:uiPriority w:val="1"/>
    <w:qFormat/>
    <w:rsid w:val="005D2718"/>
    <w:rPr>
      <w:rFonts w:eastAsiaTheme="minorHAnsi"/>
      <w:sz w:val="22"/>
      <w:szCs w:val="22"/>
      <w:lang w:val="id-ID"/>
    </w:rPr>
  </w:style>
  <w:style w:type="paragraph" w:customStyle="1" w:styleId="EndNoteCategoryHeading">
    <w:name w:val="EndNote Category Heading"/>
    <w:basedOn w:val="Normal"/>
    <w:link w:val="EndNoteCategoryHeadingChar"/>
    <w:rsid w:val="005D2718"/>
    <w:pPr>
      <w:spacing w:before="120" w:after="120" w:line="259" w:lineRule="auto"/>
    </w:pPr>
    <w:rPr>
      <w:rFonts w:asciiTheme="minorHAnsi" w:eastAsiaTheme="minorHAnsi" w:hAnsiTheme="minorHAnsi"/>
      <w:b/>
      <w:noProof/>
      <w:sz w:val="22"/>
      <w:szCs w:val="22"/>
    </w:rPr>
  </w:style>
  <w:style w:type="character" w:customStyle="1" w:styleId="EndNoteCategoryHeadingChar">
    <w:name w:val="EndNote Category Heading Char"/>
    <w:basedOn w:val="DefaultParagraphFont"/>
    <w:link w:val="EndNoteCategoryHeading"/>
    <w:rsid w:val="005D2718"/>
    <w:rPr>
      <w:rFonts w:eastAsiaTheme="minorHAnsi"/>
      <w:b/>
      <w:noProof/>
      <w:sz w:val="22"/>
      <w:szCs w:val="22"/>
    </w:rPr>
  </w:style>
  <w:style w:type="character" w:customStyle="1" w:styleId="cit">
    <w:name w:val="cit"/>
    <w:basedOn w:val="DefaultParagraphFont"/>
    <w:rsid w:val="005D2718"/>
  </w:style>
  <w:style w:type="character" w:customStyle="1" w:styleId="highwire-cite-metadata-journal">
    <w:name w:val="highwire-cite-metadata-journal"/>
    <w:basedOn w:val="DefaultParagraphFont"/>
    <w:rsid w:val="005D2718"/>
  </w:style>
  <w:style w:type="character" w:customStyle="1" w:styleId="highwire-cite-metadata-date">
    <w:name w:val="highwire-cite-metadata-date"/>
    <w:basedOn w:val="DefaultParagraphFont"/>
    <w:rsid w:val="005D2718"/>
  </w:style>
  <w:style w:type="character" w:customStyle="1" w:styleId="highwire-cite-metadata-volume-pages">
    <w:name w:val="highwire-cite-metadata-volume-pages"/>
    <w:basedOn w:val="DefaultParagraphFont"/>
    <w:rsid w:val="005D2718"/>
  </w:style>
  <w:style w:type="character" w:styleId="Emphasis">
    <w:name w:val="Emphasis"/>
    <w:basedOn w:val="DefaultParagraphFont"/>
    <w:uiPriority w:val="20"/>
    <w:qFormat/>
    <w:rsid w:val="005D2718"/>
    <w:rPr>
      <w:i/>
      <w:iCs/>
    </w:rPr>
  </w:style>
  <w:style w:type="character" w:customStyle="1" w:styleId="citationref">
    <w:name w:val="citationref"/>
    <w:basedOn w:val="DefaultParagraphFont"/>
    <w:rsid w:val="005D2718"/>
  </w:style>
  <w:style w:type="table" w:customStyle="1" w:styleId="TableGrid1">
    <w:name w:val="Table Grid1"/>
    <w:basedOn w:val="TableNormal"/>
    <w:next w:val="TableGrid"/>
    <w:uiPriority w:val="39"/>
    <w:rsid w:val="005D2718"/>
    <w:rPr>
      <w:rFonts w:ascii="Calibri" w:eastAsiaTheme="minorHAnsi" w:hAnsi="Calibri" w:cs="Times New Roman"/>
      <w:sz w:val="22"/>
      <w:szCs w:val="22"/>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70563">
      <w:bodyDiv w:val="1"/>
      <w:marLeft w:val="0"/>
      <w:marRight w:val="0"/>
      <w:marTop w:val="0"/>
      <w:marBottom w:val="0"/>
      <w:divBdr>
        <w:top w:val="none" w:sz="0" w:space="0" w:color="auto"/>
        <w:left w:val="none" w:sz="0" w:space="0" w:color="auto"/>
        <w:bottom w:val="none" w:sz="0" w:space="0" w:color="auto"/>
        <w:right w:val="none" w:sz="0" w:space="0" w:color="auto"/>
      </w:divBdr>
    </w:div>
    <w:div w:id="190461430">
      <w:bodyDiv w:val="1"/>
      <w:marLeft w:val="0"/>
      <w:marRight w:val="0"/>
      <w:marTop w:val="0"/>
      <w:marBottom w:val="0"/>
      <w:divBdr>
        <w:top w:val="none" w:sz="0" w:space="0" w:color="auto"/>
        <w:left w:val="none" w:sz="0" w:space="0" w:color="auto"/>
        <w:bottom w:val="none" w:sz="0" w:space="0" w:color="auto"/>
        <w:right w:val="none" w:sz="0" w:space="0" w:color="auto"/>
      </w:divBdr>
    </w:div>
    <w:div w:id="648216934">
      <w:bodyDiv w:val="1"/>
      <w:marLeft w:val="0"/>
      <w:marRight w:val="0"/>
      <w:marTop w:val="0"/>
      <w:marBottom w:val="0"/>
      <w:divBdr>
        <w:top w:val="none" w:sz="0" w:space="0" w:color="auto"/>
        <w:left w:val="none" w:sz="0" w:space="0" w:color="auto"/>
        <w:bottom w:val="none" w:sz="0" w:space="0" w:color="auto"/>
        <w:right w:val="none" w:sz="0" w:space="0" w:color="auto"/>
      </w:divBdr>
    </w:div>
    <w:div w:id="867838709">
      <w:bodyDiv w:val="1"/>
      <w:marLeft w:val="0"/>
      <w:marRight w:val="0"/>
      <w:marTop w:val="0"/>
      <w:marBottom w:val="0"/>
      <w:divBdr>
        <w:top w:val="none" w:sz="0" w:space="0" w:color="auto"/>
        <w:left w:val="none" w:sz="0" w:space="0" w:color="auto"/>
        <w:bottom w:val="none" w:sz="0" w:space="0" w:color="auto"/>
        <w:right w:val="none" w:sz="0" w:space="0" w:color="auto"/>
      </w:divBdr>
      <w:divsChild>
        <w:div w:id="1591619075">
          <w:marLeft w:val="0"/>
          <w:marRight w:val="0"/>
          <w:marTop w:val="0"/>
          <w:marBottom w:val="0"/>
          <w:divBdr>
            <w:top w:val="none" w:sz="0" w:space="0" w:color="auto"/>
            <w:left w:val="none" w:sz="0" w:space="0" w:color="auto"/>
            <w:bottom w:val="none" w:sz="0" w:space="0" w:color="auto"/>
            <w:right w:val="none" w:sz="0" w:space="0" w:color="auto"/>
          </w:divBdr>
          <w:divsChild>
            <w:div w:id="1967540955">
              <w:marLeft w:val="0"/>
              <w:marRight w:val="0"/>
              <w:marTop w:val="0"/>
              <w:marBottom w:val="0"/>
              <w:divBdr>
                <w:top w:val="none" w:sz="0" w:space="0" w:color="auto"/>
                <w:left w:val="none" w:sz="0" w:space="0" w:color="auto"/>
                <w:bottom w:val="none" w:sz="0" w:space="0" w:color="auto"/>
                <w:right w:val="none" w:sz="0" w:space="0" w:color="auto"/>
              </w:divBdr>
              <w:divsChild>
                <w:div w:id="894437877">
                  <w:marLeft w:val="0"/>
                  <w:marRight w:val="0"/>
                  <w:marTop w:val="0"/>
                  <w:marBottom w:val="0"/>
                  <w:divBdr>
                    <w:top w:val="none" w:sz="0" w:space="0" w:color="auto"/>
                    <w:left w:val="none" w:sz="0" w:space="0" w:color="auto"/>
                    <w:bottom w:val="none" w:sz="0" w:space="0" w:color="auto"/>
                    <w:right w:val="none" w:sz="0" w:space="0" w:color="auto"/>
                  </w:divBdr>
                  <w:divsChild>
                    <w:div w:id="641929051">
                      <w:marLeft w:val="0"/>
                      <w:marRight w:val="0"/>
                      <w:marTop w:val="0"/>
                      <w:marBottom w:val="0"/>
                      <w:divBdr>
                        <w:top w:val="none" w:sz="0" w:space="0" w:color="auto"/>
                        <w:left w:val="none" w:sz="0" w:space="0" w:color="auto"/>
                        <w:bottom w:val="none" w:sz="0" w:space="0" w:color="auto"/>
                        <w:right w:val="none" w:sz="0" w:space="0" w:color="auto"/>
                      </w:divBdr>
                      <w:divsChild>
                        <w:div w:id="1024483469">
                          <w:marLeft w:val="0"/>
                          <w:marRight w:val="0"/>
                          <w:marTop w:val="0"/>
                          <w:marBottom w:val="0"/>
                          <w:divBdr>
                            <w:top w:val="none" w:sz="0" w:space="0" w:color="auto"/>
                            <w:left w:val="none" w:sz="0" w:space="0" w:color="auto"/>
                            <w:bottom w:val="none" w:sz="0" w:space="0" w:color="auto"/>
                            <w:right w:val="none" w:sz="0" w:space="0" w:color="auto"/>
                          </w:divBdr>
                          <w:divsChild>
                            <w:div w:id="380254080">
                              <w:marLeft w:val="0"/>
                              <w:marRight w:val="300"/>
                              <w:marTop w:val="180"/>
                              <w:marBottom w:val="0"/>
                              <w:divBdr>
                                <w:top w:val="none" w:sz="0" w:space="0" w:color="auto"/>
                                <w:left w:val="none" w:sz="0" w:space="0" w:color="auto"/>
                                <w:bottom w:val="none" w:sz="0" w:space="0" w:color="auto"/>
                                <w:right w:val="none" w:sz="0" w:space="0" w:color="auto"/>
                              </w:divBdr>
                              <w:divsChild>
                                <w:div w:id="132135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0547379">
          <w:marLeft w:val="0"/>
          <w:marRight w:val="0"/>
          <w:marTop w:val="0"/>
          <w:marBottom w:val="0"/>
          <w:divBdr>
            <w:top w:val="none" w:sz="0" w:space="0" w:color="auto"/>
            <w:left w:val="none" w:sz="0" w:space="0" w:color="auto"/>
            <w:bottom w:val="none" w:sz="0" w:space="0" w:color="auto"/>
            <w:right w:val="none" w:sz="0" w:space="0" w:color="auto"/>
          </w:divBdr>
          <w:divsChild>
            <w:div w:id="1216816772">
              <w:marLeft w:val="0"/>
              <w:marRight w:val="0"/>
              <w:marTop w:val="0"/>
              <w:marBottom w:val="0"/>
              <w:divBdr>
                <w:top w:val="none" w:sz="0" w:space="0" w:color="auto"/>
                <w:left w:val="none" w:sz="0" w:space="0" w:color="auto"/>
                <w:bottom w:val="none" w:sz="0" w:space="0" w:color="auto"/>
                <w:right w:val="none" w:sz="0" w:space="0" w:color="auto"/>
              </w:divBdr>
              <w:divsChild>
                <w:div w:id="1733429694">
                  <w:marLeft w:val="0"/>
                  <w:marRight w:val="0"/>
                  <w:marTop w:val="0"/>
                  <w:marBottom w:val="0"/>
                  <w:divBdr>
                    <w:top w:val="none" w:sz="0" w:space="0" w:color="auto"/>
                    <w:left w:val="none" w:sz="0" w:space="0" w:color="auto"/>
                    <w:bottom w:val="none" w:sz="0" w:space="0" w:color="auto"/>
                    <w:right w:val="none" w:sz="0" w:space="0" w:color="auto"/>
                  </w:divBdr>
                  <w:divsChild>
                    <w:div w:id="909464371">
                      <w:marLeft w:val="0"/>
                      <w:marRight w:val="0"/>
                      <w:marTop w:val="0"/>
                      <w:marBottom w:val="0"/>
                      <w:divBdr>
                        <w:top w:val="none" w:sz="0" w:space="0" w:color="auto"/>
                        <w:left w:val="none" w:sz="0" w:space="0" w:color="auto"/>
                        <w:bottom w:val="none" w:sz="0" w:space="0" w:color="auto"/>
                        <w:right w:val="none" w:sz="0" w:space="0" w:color="auto"/>
                      </w:divBdr>
                      <w:divsChild>
                        <w:div w:id="7935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073325">
      <w:bodyDiv w:val="1"/>
      <w:marLeft w:val="0"/>
      <w:marRight w:val="0"/>
      <w:marTop w:val="0"/>
      <w:marBottom w:val="0"/>
      <w:divBdr>
        <w:top w:val="none" w:sz="0" w:space="0" w:color="auto"/>
        <w:left w:val="none" w:sz="0" w:space="0" w:color="auto"/>
        <w:bottom w:val="none" w:sz="0" w:space="0" w:color="auto"/>
        <w:right w:val="none" w:sz="0" w:space="0" w:color="auto"/>
      </w:divBdr>
    </w:div>
    <w:div w:id="1689671856">
      <w:bodyDiv w:val="1"/>
      <w:marLeft w:val="0"/>
      <w:marRight w:val="0"/>
      <w:marTop w:val="0"/>
      <w:marBottom w:val="0"/>
      <w:divBdr>
        <w:top w:val="none" w:sz="0" w:space="0" w:color="auto"/>
        <w:left w:val="none" w:sz="0" w:space="0" w:color="auto"/>
        <w:bottom w:val="none" w:sz="0" w:space="0" w:color="auto"/>
        <w:right w:val="none" w:sz="0" w:space="0" w:color="auto"/>
      </w:divBdr>
    </w:div>
    <w:div w:id="1691880358">
      <w:bodyDiv w:val="1"/>
      <w:marLeft w:val="0"/>
      <w:marRight w:val="0"/>
      <w:marTop w:val="0"/>
      <w:marBottom w:val="0"/>
      <w:divBdr>
        <w:top w:val="none" w:sz="0" w:space="0" w:color="auto"/>
        <w:left w:val="none" w:sz="0" w:space="0" w:color="auto"/>
        <w:bottom w:val="none" w:sz="0" w:space="0" w:color="auto"/>
        <w:right w:val="none" w:sz="0" w:space="0" w:color="auto"/>
      </w:divBdr>
    </w:div>
    <w:div w:id="1819107590">
      <w:bodyDiv w:val="1"/>
      <w:marLeft w:val="0"/>
      <w:marRight w:val="0"/>
      <w:marTop w:val="0"/>
      <w:marBottom w:val="0"/>
      <w:divBdr>
        <w:top w:val="none" w:sz="0" w:space="0" w:color="auto"/>
        <w:left w:val="none" w:sz="0" w:space="0" w:color="auto"/>
        <w:bottom w:val="none" w:sz="0" w:space="0" w:color="auto"/>
        <w:right w:val="none" w:sz="0" w:space="0" w:color="auto"/>
      </w:divBdr>
    </w:div>
    <w:div w:id="1871064426">
      <w:bodyDiv w:val="1"/>
      <w:marLeft w:val="0"/>
      <w:marRight w:val="0"/>
      <w:marTop w:val="0"/>
      <w:marBottom w:val="0"/>
      <w:divBdr>
        <w:top w:val="none" w:sz="0" w:space="0" w:color="auto"/>
        <w:left w:val="none" w:sz="0" w:space="0" w:color="auto"/>
        <w:bottom w:val="none" w:sz="0" w:space="0" w:color="auto"/>
        <w:right w:val="none" w:sz="0" w:space="0" w:color="auto"/>
      </w:divBdr>
      <w:divsChild>
        <w:div w:id="1746032844">
          <w:marLeft w:val="0"/>
          <w:marRight w:val="0"/>
          <w:marTop w:val="0"/>
          <w:marBottom w:val="0"/>
          <w:divBdr>
            <w:top w:val="none" w:sz="0" w:space="0" w:color="auto"/>
            <w:left w:val="none" w:sz="0" w:space="0" w:color="auto"/>
            <w:bottom w:val="none" w:sz="0" w:space="0" w:color="auto"/>
            <w:right w:val="none" w:sz="0" w:space="0" w:color="auto"/>
          </w:divBdr>
          <w:divsChild>
            <w:div w:id="1490562037">
              <w:marLeft w:val="0"/>
              <w:marRight w:val="0"/>
              <w:marTop w:val="0"/>
              <w:marBottom w:val="0"/>
              <w:divBdr>
                <w:top w:val="none" w:sz="0" w:space="0" w:color="auto"/>
                <w:left w:val="none" w:sz="0" w:space="0" w:color="auto"/>
                <w:bottom w:val="none" w:sz="0" w:space="0" w:color="auto"/>
                <w:right w:val="none" w:sz="0" w:space="0" w:color="auto"/>
              </w:divBdr>
              <w:divsChild>
                <w:div w:id="335496870">
                  <w:marLeft w:val="0"/>
                  <w:marRight w:val="0"/>
                  <w:marTop w:val="0"/>
                  <w:marBottom w:val="0"/>
                  <w:divBdr>
                    <w:top w:val="none" w:sz="0" w:space="0" w:color="auto"/>
                    <w:left w:val="none" w:sz="0" w:space="0" w:color="auto"/>
                    <w:bottom w:val="none" w:sz="0" w:space="0" w:color="auto"/>
                    <w:right w:val="none" w:sz="0" w:space="0" w:color="auto"/>
                  </w:divBdr>
                  <w:divsChild>
                    <w:div w:id="89543319">
                      <w:marLeft w:val="0"/>
                      <w:marRight w:val="0"/>
                      <w:marTop w:val="0"/>
                      <w:marBottom w:val="0"/>
                      <w:divBdr>
                        <w:top w:val="none" w:sz="0" w:space="0" w:color="auto"/>
                        <w:left w:val="none" w:sz="0" w:space="0" w:color="auto"/>
                        <w:bottom w:val="none" w:sz="0" w:space="0" w:color="auto"/>
                        <w:right w:val="none" w:sz="0" w:space="0" w:color="auto"/>
                      </w:divBdr>
                      <w:divsChild>
                        <w:div w:id="1836652375">
                          <w:marLeft w:val="0"/>
                          <w:marRight w:val="0"/>
                          <w:marTop w:val="0"/>
                          <w:marBottom w:val="0"/>
                          <w:divBdr>
                            <w:top w:val="none" w:sz="0" w:space="0" w:color="auto"/>
                            <w:left w:val="none" w:sz="0" w:space="0" w:color="auto"/>
                            <w:bottom w:val="none" w:sz="0" w:space="0" w:color="auto"/>
                            <w:right w:val="none" w:sz="0" w:space="0" w:color="auto"/>
                          </w:divBdr>
                          <w:divsChild>
                            <w:div w:id="172494408">
                              <w:marLeft w:val="0"/>
                              <w:marRight w:val="300"/>
                              <w:marTop w:val="180"/>
                              <w:marBottom w:val="0"/>
                              <w:divBdr>
                                <w:top w:val="none" w:sz="0" w:space="0" w:color="auto"/>
                                <w:left w:val="none" w:sz="0" w:space="0" w:color="auto"/>
                                <w:bottom w:val="none" w:sz="0" w:space="0" w:color="auto"/>
                                <w:right w:val="none" w:sz="0" w:space="0" w:color="auto"/>
                              </w:divBdr>
                              <w:divsChild>
                                <w:div w:id="155650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3554218">
          <w:marLeft w:val="0"/>
          <w:marRight w:val="0"/>
          <w:marTop w:val="0"/>
          <w:marBottom w:val="0"/>
          <w:divBdr>
            <w:top w:val="none" w:sz="0" w:space="0" w:color="auto"/>
            <w:left w:val="none" w:sz="0" w:space="0" w:color="auto"/>
            <w:bottom w:val="none" w:sz="0" w:space="0" w:color="auto"/>
            <w:right w:val="none" w:sz="0" w:space="0" w:color="auto"/>
          </w:divBdr>
          <w:divsChild>
            <w:div w:id="489950227">
              <w:marLeft w:val="0"/>
              <w:marRight w:val="0"/>
              <w:marTop w:val="0"/>
              <w:marBottom w:val="0"/>
              <w:divBdr>
                <w:top w:val="none" w:sz="0" w:space="0" w:color="auto"/>
                <w:left w:val="none" w:sz="0" w:space="0" w:color="auto"/>
                <w:bottom w:val="none" w:sz="0" w:space="0" w:color="auto"/>
                <w:right w:val="none" w:sz="0" w:space="0" w:color="auto"/>
              </w:divBdr>
              <w:divsChild>
                <w:div w:id="594023843">
                  <w:marLeft w:val="0"/>
                  <w:marRight w:val="0"/>
                  <w:marTop w:val="0"/>
                  <w:marBottom w:val="0"/>
                  <w:divBdr>
                    <w:top w:val="none" w:sz="0" w:space="0" w:color="auto"/>
                    <w:left w:val="none" w:sz="0" w:space="0" w:color="auto"/>
                    <w:bottom w:val="none" w:sz="0" w:space="0" w:color="auto"/>
                    <w:right w:val="none" w:sz="0" w:space="0" w:color="auto"/>
                  </w:divBdr>
                  <w:divsChild>
                    <w:div w:id="1998849095">
                      <w:marLeft w:val="0"/>
                      <w:marRight w:val="0"/>
                      <w:marTop w:val="0"/>
                      <w:marBottom w:val="0"/>
                      <w:divBdr>
                        <w:top w:val="none" w:sz="0" w:space="0" w:color="auto"/>
                        <w:left w:val="none" w:sz="0" w:space="0" w:color="auto"/>
                        <w:bottom w:val="none" w:sz="0" w:space="0" w:color="auto"/>
                        <w:right w:val="none" w:sz="0" w:space="0" w:color="auto"/>
                      </w:divBdr>
                      <w:divsChild>
                        <w:div w:id="7060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424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70686-A1D9-714A-B8BB-188D70AEA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18381</Words>
  <Characters>104772</Characters>
  <Application>Microsoft Macintosh Word</Application>
  <DocSecurity>0</DocSecurity>
  <Lines>873</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Esti Syafriati</dc:creator>
  <cp:lastModifiedBy>Esti Syafriati</cp:lastModifiedBy>
  <cp:revision>3</cp:revision>
  <cp:lastPrinted>2019-01-22T23:43:00Z</cp:lastPrinted>
  <dcterms:created xsi:type="dcterms:W3CDTF">2019-10-10T02:35:00Z</dcterms:created>
  <dcterms:modified xsi:type="dcterms:W3CDTF">2019-10-26T16:10:00Z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id="http://www.zotero.org/styles/vancouver-superscript"/&gt;&lt;hasBiblio/&gt;&lt;format class="21"/&gt;&lt;count citations="132" publications="72"/&gt;&lt;/info&gt;PAPERS2_INFO_END</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e12d04c6-ab2b-30f2-8188-cdb199682f40</vt:lpwstr>
  </property>
  <property fmtid="{D5CDD505-2E9C-101B-9397-08002B2CF9AE}" pid="25" name="Mendeley Citation Style_1">
    <vt:lpwstr>http://www.zotero.org/styles/american-medical-association</vt:lpwstr>
  </property>
</Properties>
</file>