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C1C58" w14:textId="6B99F912" w:rsidR="003F72AD" w:rsidRPr="00034E98" w:rsidRDefault="003F72AD" w:rsidP="00034E98">
      <w:pPr>
        <w:autoSpaceDE w:val="0"/>
        <w:autoSpaceDN w:val="0"/>
        <w:adjustRightInd w:val="0"/>
        <w:spacing w:after="240" w:line="620" w:lineRule="atLeast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3F72AD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Structural Basis for Recognition of Human </w:t>
      </w:r>
      <w:proofErr w:type="spellStart"/>
      <w:r w:rsidRPr="003F72AD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Enterovirus</w:t>
      </w:r>
      <w:proofErr w:type="spellEnd"/>
      <w:r w:rsidRPr="003F72AD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71 by a Bivalent Broadly Neutralizing Monoclonal Antibody </w:t>
      </w:r>
    </w:p>
    <w:p w14:paraId="299F576E" w14:textId="7B622446" w:rsidR="00AE3E37" w:rsidRPr="003C3E6C" w:rsidRDefault="003F72AD" w:rsidP="003C3E6C">
      <w:pPr>
        <w:autoSpaceDE w:val="0"/>
        <w:autoSpaceDN w:val="0"/>
        <w:adjustRightInd w:val="0"/>
        <w:spacing w:after="240" w:line="260" w:lineRule="atLeast"/>
        <w:rPr>
          <w:rFonts w:ascii="Arial"/>
          <w:sz w:val="18"/>
          <w:szCs w:val="18"/>
        </w:rPr>
      </w:pPr>
      <w:r w:rsidRPr="003C3E6C">
        <w:rPr>
          <w:rFonts w:ascii="Arial"/>
          <w:sz w:val="18"/>
          <w:szCs w:val="18"/>
        </w:rPr>
        <w:t>Yao Cong</w:t>
      </w:r>
      <w:r w:rsidR="00065718" w:rsidRPr="003C3E6C">
        <w:rPr>
          <w:rFonts w:ascii="Arial"/>
          <w:sz w:val="18"/>
          <w:szCs w:val="18"/>
        </w:rPr>
        <w:t xml:space="preserve">, </w:t>
      </w:r>
      <w:r w:rsidR="003C3E6C" w:rsidRPr="003C3E6C">
        <w:rPr>
          <w:rFonts w:ascii="Arial"/>
          <w:sz w:val="18"/>
          <w:szCs w:val="18"/>
        </w:rPr>
        <w:t xml:space="preserve">National Center for Protein Science Shanghai, Shanghai Institutes for Biological Sciences, Chinese Academy of Sciences, Shanghai, China </w:t>
      </w:r>
    </w:p>
    <w:p w14:paraId="60E9E88E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88B8860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BFB76DB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290BA14D" w14:textId="77777777" w:rsidR="00023976" w:rsidRDefault="00023976" w:rsidP="00034E98">
      <w:pPr>
        <w:autoSpaceDE w:val="0"/>
        <w:autoSpaceDN w:val="0"/>
        <w:adjustRightInd w:val="0"/>
        <w:spacing w:after="240" w:line="260" w:lineRule="atLeast"/>
        <w:jc w:val="both"/>
        <w:rPr>
          <w:rFonts w:ascii="Times" w:eastAsiaTheme="minorHAnsi" w:hAnsi="Times" w:cs="Times"/>
          <w:color w:val="000000"/>
          <w:sz w:val="24"/>
          <w:szCs w:val="24"/>
        </w:rPr>
      </w:pPr>
      <w:proofErr w:type="spellStart"/>
      <w:r w:rsidRPr="00023976">
        <w:rPr>
          <w:sz w:val="18"/>
          <w:szCs w:val="18"/>
        </w:rPr>
        <w:t>Enterovirus</w:t>
      </w:r>
      <w:proofErr w:type="spellEnd"/>
      <w:r w:rsidRPr="00023976">
        <w:rPr>
          <w:sz w:val="18"/>
          <w:szCs w:val="18"/>
        </w:rPr>
        <w:t xml:space="preserve"> 71 (EV71) is the main pathogen responsible for hand, foot and mouth disease with severe neurological complications and even death in young children. We have recently identified a highly potent anti-EV71 neutralizing monoclonal antibody, termed D5. Here we investigated the structural basis for recognition of EV71 by the antibody D5. Four three- dimensional structures of EV71 particles in complex with </w:t>
      </w:r>
      <w:proofErr w:type="spellStart"/>
      <w:r w:rsidRPr="00023976">
        <w:rPr>
          <w:sz w:val="18"/>
          <w:szCs w:val="18"/>
        </w:rPr>
        <w:t>IgG</w:t>
      </w:r>
      <w:proofErr w:type="spellEnd"/>
      <w:r w:rsidRPr="00023976">
        <w:rPr>
          <w:sz w:val="18"/>
          <w:szCs w:val="18"/>
        </w:rPr>
        <w:t xml:space="preserve"> or Fab of D5 were recon- </w:t>
      </w:r>
      <w:proofErr w:type="spellStart"/>
      <w:r w:rsidRPr="00023976">
        <w:rPr>
          <w:sz w:val="18"/>
          <w:szCs w:val="18"/>
        </w:rPr>
        <w:t>structed</w:t>
      </w:r>
      <w:proofErr w:type="spellEnd"/>
      <w:r w:rsidRPr="00023976">
        <w:rPr>
          <w:sz w:val="18"/>
          <w:szCs w:val="18"/>
        </w:rPr>
        <w:t xml:space="preserve"> by cryo-electron microscopy (cryo-EM) single particle analysis all at </w:t>
      </w:r>
      <w:proofErr w:type="spellStart"/>
      <w:r w:rsidRPr="00023976">
        <w:rPr>
          <w:sz w:val="18"/>
          <w:szCs w:val="18"/>
        </w:rPr>
        <w:t>subnanometer</w:t>
      </w:r>
      <w:proofErr w:type="spellEnd"/>
      <w:r w:rsidRPr="00023976">
        <w:rPr>
          <w:sz w:val="18"/>
          <w:szCs w:val="18"/>
        </w:rPr>
        <w:t xml:space="preserve"> resolutions. The most critical EV71 mature </w:t>
      </w:r>
      <w:proofErr w:type="spellStart"/>
      <w:r w:rsidRPr="00023976">
        <w:rPr>
          <w:sz w:val="18"/>
          <w:szCs w:val="18"/>
        </w:rPr>
        <w:t>virion</w:t>
      </w:r>
      <w:proofErr w:type="spellEnd"/>
      <w:r w:rsidRPr="00023976">
        <w:rPr>
          <w:sz w:val="18"/>
          <w:szCs w:val="18"/>
        </w:rPr>
        <w:t xml:space="preserve">-Fab structure was resolved to a resolution of 4.8 Å, which is rare in cryo-EM studies of virus-antibody complex so far. The structures reveal a bivalent binding pattern of D5 antibody across the icosahedral 2-fold axis on mature </w:t>
      </w:r>
      <w:proofErr w:type="spellStart"/>
      <w:r w:rsidRPr="00023976">
        <w:rPr>
          <w:sz w:val="18"/>
          <w:szCs w:val="18"/>
        </w:rPr>
        <w:t>virion</w:t>
      </w:r>
      <w:proofErr w:type="spellEnd"/>
      <w:r w:rsidRPr="00023976">
        <w:rPr>
          <w:sz w:val="18"/>
          <w:szCs w:val="18"/>
        </w:rPr>
        <w:t xml:space="preserve">, suggesting that D5 binding may rigidify </w:t>
      </w:r>
      <w:proofErr w:type="spellStart"/>
      <w:r w:rsidRPr="00023976">
        <w:rPr>
          <w:sz w:val="18"/>
          <w:szCs w:val="18"/>
        </w:rPr>
        <w:t>virions</w:t>
      </w:r>
      <w:proofErr w:type="spellEnd"/>
      <w:r w:rsidRPr="00023976">
        <w:rPr>
          <w:sz w:val="18"/>
          <w:szCs w:val="18"/>
        </w:rPr>
        <w:t xml:space="preserve"> to prevent their conformational changes required for subsequent RNA release. Moreover, we also identified that the com- </w:t>
      </w:r>
      <w:proofErr w:type="spellStart"/>
      <w:r w:rsidRPr="00023976">
        <w:rPr>
          <w:sz w:val="18"/>
          <w:szCs w:val="18"/>
        </w:rPr>
        <w:t>plementary</w:t>
      </w:r>
      <w:proofErr w:type="spellEnd"/>
      <w:r w:rsidRPr="00023976">
        <w:rPr>
          <w:sz w:val="18"/>
          <w:szCs w:val="18"/>
        </w:rPr>
        <w:t xml:space="preserve"> determining region 3 (CDR3) of D5 heavy chain directly interacts with the extremely conserved VP1 GH-loop of EV71, which was validated by biochemical and </w:t>
      </w:r>
      <w:proofErr w:type="spellStart"/>
      <w:r w:rsidRPr="00023976">
        <w:rPr>
          <w:sz w:val="18"/>
          <w:szCs w:val="18"/>
        </w:rPr>
        <w:t>viro</w:t>
      </w:r>
      <w:proofErr w:type="spellEnd"/>
      <w:r w:rsidRPr="00023976">
        <w:rPr>
          <w:sz w:val="18"/>
          <w:szCs w:val="18"/>
        </w:rPr>
        <w:t xml:space="preserve">- logical assays. We further showed that D5 is indeed able to neutralize a variety of EV71 genotypes and strains. Moreover, D5 could potently confer protection in a mouse model of EV71 infection. Since the conserved VP1 GH-loop is involved in EV71 binding with its </w:t>
      </w:r>
      <w:proofErr w:type="spellStart"/>
      <w:r w:rsidRPr="00023976">
        <w:rPr>
          <w:sz w:val="18"/>
          <w:szCs w:val="18"/>
        </w:rPr>
        <w:t>uncoating</w:t>
      </w:r>
      <w:proofErr w:type="spellEnd"/>
      <w:r w:rsidRPr="00023976">
        <w:rPr>
          <w:sz w:val="18"/>
          <w:szCs w:val="18"/>
        </w:rPr>
        <w:t xml:space="preserve"> receptor, the scavenger receptor class B, member 2 (SCARB2), the broadly </w:t>
      </w:r>
      <w:proofErr w:type="spellStart"/>
      <w:r w:rsidRPr="00023976">
        <w:rPr>
          <w:sz w:val="18"/>
          <w:szCs w:val="18"/>
        </w:rPr>
        <w:t>neu</w:t>
      </w:r>
      <w:proofErr w:type="spellEnd"/>
      <w:r w:rsidRPr="00023976">
        <w:rPr>
          <w:sz w:val="18"/>
          <w:szCs w:val="18"/>
        </w:rPr>
        <w:t xml:space="preserve">- </w:t>
      </w:r>
      <w:proofErr w:type="spellStart"/>
      <w:r w:rsidRPr="00023976">
        <w:rPr>
          <w:sz w:val="18"/>
          <w:szCs w:val="18"/>
        </w:rPr>
        <w:t>tralizing</w:t>
      </w:r>
      <w:proofErr w:type="spellEnd"/>
      <w:r w:rsidRPr="00023976">
        <w:rPr>
          <w:sz w:val="18"/>
          <w:szCs w:val="18"/>
        </w:rPr>
        <w:t xml:space="preserve"> ability of D5 might attribute to its inhibition of EV71 from binding SCARB2. Alto- </w:t>
      </w:r>
      <w:proofErr w:type="spellStart"/>
      <w:r w:rsidRPr="00023976">
        <w:rPr>
          <w:sz w:val="18"/>
          <w:szCs w:val="18"/>
        </w:rPr>
        <w:t>gether</w:t>
      </w:r>
      <w:proofErr w:type="spellEnd"/>
      <w:r w:rsidRPr="00023976">
        <w:rPr>
          <w:sz w:val="18"/>
          <w:szCs w:val="18"/>
        </w:rPr>
        <w:t xml:space="preserve">, our results elucidate the structural basis for the binding and neutralization of EV71 by the broadly neutralizing antibody D5, thereby enhancing our understanding of antibody- based protection against EV71 infection. </w:t>
      </w:r>
    </w:p>
    <w:p w14:paraId="4115708B" w14:textId="0261D01C" w:rsidR="00E9016C" w:rsidRDefault="00A9710C" w:rsidP="00D91799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4342C6F9" w14:textId="77777777" w:rsidR="00034E98" w:rsidRPr="00D91799" w:rsidRDefault="00034E98" w:rsidP="00D91799">
      <w:pPr>
        <w:pStyle w:val="Heading3"/>
        <w:spacing w:before="74"/>
      </w:pPr>
    </w:p>
    <w:p w14:paraId="7D796695" w14:textId="232543A3" w:rsidR="00D91799" w:rsidRDefault="00E9016C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     </w:t>
      </w:r>
      <w:r w:rsidR="006363CB">
        <w:rPr>
          <w:rFonts w:ascii="Arial"/>
          <w:b/>
          <w:sz w:val="16"/>
        </w:rPr>
        <w:t xml:space="preserve">      </w:t>
      </w:r>
      <w:r>
        <w:rPr>
          <w:noProof/>
        </w:rPr>
        <w:drawing>
          <wp:inline distT="0" distB="0" distL="0" distR="0" wp14:anchorId="1D9CB210" wp14:editId="782C17CD">
            <wp:extent cx="2637037" cy="162560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-Con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538" cy="162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89A09" w14:textId="77777777" w:rsidR="00071FF1" w:rsidRDefault="00D91799" w:rsidP="00071FF1">
      <w:pPr>
        <w:autoSpaceDE w:val="0"/>
        <w:autoSpaceDN w:val="0"/>
        <w:adjustRightInd w:val="0"/>
        <w:spacing w:after="240"/>
        <w:rPr>
          <w:rFonts w:ascii="Arial"/>
          <w:b/>
          <w:color w:val="BF5A14"/>
          <w:sz w:val="20"/>
        </w:rPr>
      </w:pPr>
      <w:r>
        <w:rPr>
          <w:rFonts w:ascii="Arial"/>
          <w:b/>
          <w:sz w:val="16"/>
        </w:rPr>
        <w:t xml:space="preserve">Figure 1. </w:t>
      </w:r>
      <w:proofErr w:type="gramStart"/>
      <w:r w:rsidRPr="00A46E98">
        <w:rPr>
          <w:sz w:val="18"/>
          <w:szCs w:val="18"/>
        </w:rPr>
        <w:t xml:space="preserve">Cryo-EM maps of different EV71 particles or VLP in complex with D5 Fab or intact </w:t>
      </w:r>
      <w:proofErr w:type="spellStart"/>
      <w:r w:rsidRPr="00A46E98">
        <w:rPr>
          <w:sz w:val="18"/>
          <w:szCs w:val="18"/>
        </w:rPr>
        <w:t>IgG</w:t>
      </w:r>
      <w:proofErr w:type="spellEnd"/>
      <w:r w:rsidR="00A46E98">
        <w:rPr>
          <w:sz w:val="18"/>
          <w:szCs w:val="18"/>
        </w:rPr>
        <w:t xml:space="preserve"> and c</w:t>
      </w:r>
      <w:r w:rsidR="00A46E98" w:rsidRPr="00A46E98">
        <w:rPr>
          <w:sz w:val="18"/>
          <w:szCs w:val="18"/>
        </w:rPr>
        <w:t>lose-up views</w:t>
      </w:r>
      <w:r w:rsidR="00A46E98">
        <w:rPr>
          <w:sz w:val="18"/>
          <w:szCs w:val="18"/>
        </w:rPr>
        <w:t xml:space="preserve"> of the antibody-virus junction.</w:t>
      </w:r>
      <w:proofErr w:type="gramEnd"/>
    </w:p>
    <w:p w14:paraId="26755F0F" w14:textId="567A16CC" w:rsidR="005973B9" w:rsidRPr="00071FF1" w:rsidRDefault="005973B9" w:rsidP="00071FF1">
      <w:pPr>
        <w:autoSpaceDE w:val="0"/>
        <w:autoSpaceDN w:val="0"/>
        <w:adjustRightInd w:val="0"/>
        <w:spacing w:after="120"/>
        <w:rPr>
          <w:rFonts w:ascii="Times" w:eastAsiaTheme="minorHAnsi" w:hAnsi="Times" w:cs="Times"/>
          <w:color w:val="000000"/>
          <w:sz w:val="24"/>
          <w:szCs w:val="24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17D699FF" w14:textId="77777777" w:rsidR="00DD1999" w:rsidRPr="006363CB" w:rsidRDefault="00334D0B" w:rsidP="006363CB">
      <w:pPr>
        <w:widowControl/>
        <w:numPr>
          <w:ilvl w:val="0"/>
          <w:numId w:val="6"/>
        </w:numPr>
        <w:spacing w:after="100" w:afterAutospacing="1" w:line="264" w:lineRule="auto"/>
        <w:jc w:val="both"/>
        <w:rPr>
          <w:rFonts w:ascii="Calibri" w:eastAsia="Times New Roman" w:hAnsi="Calibri" w:cs="Arial"/>
          <w:color w:val="000000"/>
          <w:sz w:val="18"/>
          <w:szCs w:val="18"/>
        </w:rPr>
      </w:pPr>
      <w:r w:rsidRPr="006363CB">
        <w:rPr>
          <w:rFonts w:ascii="Calibri" w:eastAsia="Times New Roman" w:hAnsi="Calibri" w:cs="Arial"/>
          <w:color w:val="000000"/>
          <w:sz w:val="18"/>
          <w:szCs w:val="18"/>
        </w:rPr>
        <w:t>Chen J, Zhang C, et al, Huang Z* and</w:t>
      </w:r>
      <w:r w:rsidRPr="006363CB">
        <w:rPr>
          <w:rStyle w:val="apple-converted-space"/>
          <w:rFonts w:ascii="Calibri" w:eastAsia="Times New Roman" w:hAnsi="Calibri" w:cs="Arial"/>
          <w:color w:val="000000"/>
          <w:sz w:val="18"/>
          <w:szCs w:val="18"/>
        </w:rPr>
        <w:t> </w:t>
      </w:r>
      <w:r w:rsidRPr="006363CB">
        <w:rPr>
          <w:rFonts w:ascii="Calibri" w:eastAsia="Times New Roman" w:hAnsi="Calibri" w:cs="Arial"/>
          <w:b/>
          <w:bCs/>
          <w:color w:val="000000"/>
          <w:sz w:val="18"/>
          <w:szCs w:val="18"/>
        </w:rPr>
        <w:t>Cong Y*</w:t>
      </w:r>
      <w:r w:rsidRPr="006363CB">
        <w:rPr>
          <w:rStyle w:val="apple-converted-space"/>
          <w:rFonts w:ascii="Calibri" w:eastAsia="Times New Roman" w:hAnsi="Calibri" w:cs="Arial"/>
          <w:b/>
          <w:bCs/>
          <w:color w:val="000000"/>
          <w:sz w:val="18"/>
          <w:szCs w:val="18"/>
        </w:rPr>
        <w:t> 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(2018) A 3.0-Angstrom Resolution Cryo-Electron Microscopy Structure and Antigenic Sites of </w:t>
      </w:r>
      <w:proofErr w:type="spellStart"/>
      <w:r w:rsidRPr="006363CB">
        <w:rPr>
          <w:rFonts w:ascii="Calibri" w:eastAsia="Times New Roman" w:hAnsi="Calibri" w:cs="Arial"/>
          <w:color w:val="000000"/>
          <w:sz w:val="18"/>
          <w:szCs w:val="18"/>
        </w:rPr>
        <w:t>Coxsackievirus</w:t>
      </w:r>
      <w:proofErr w:type="spellEnd"/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 A6-Like Particles.</w:t>
      </w:r>
      <w:r w:rsidRPr="006363CB">
        <w:rPr>
          <w:rStyle w:val="apple-converted-space"/>
          <w:rFonts w:ascii="Calibri" w:eastAsia="Times New Roman" w:hAnsi="Calibri" w:cs="Arial"/>
          <w:color w:val="000000"/>
          <w:sz w:val="18"/>
          <w:szCs w:val="18"/>
        </w:rPr>
        <w:t> </w:t>
      </w:r>
      <w:r w:rsidRPr="006363CB">
        <w:rPr>
          <w:rFonts w:ascii="Calibri" w:eastAsia="Times New Roman" w:hAnsi="Calibri" w:cs="Arial"/>
          <w:b/>
          <w:bCs/>
          <w:i/>
          <w:iCs/>
          <w:color w:val="000000"/>
          <w:sz w:val="18"/>
          <w:szCs w:val="18"/>
        </w:rPr>
        <w:t>Journal of Virology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>, 92: e01257-17</w:t>
      </w:r>
    </w:p>
    <w:p w14:paraId="76F4B4A2" w14:textId="77777777" w:rsidR="00DD1999" w:rsidRPr="006363CB" w:rsidRDefault="00334D0B" w:rsidP="006363CB">
      <w:pPr>
        <w:widowControl/>
        <w:numPr>
          <w:ilvl w:val="0"/>
          <w:numId w:val="6"/>
        </w:numPr>
        <w:spacing w:before="100" w:beforeAutospacing="1" w:after="100" w:afterAutospacing="1" w:line="264" w:lineRule="auto"/>
        <w:jc w:val="both"/>
        <w:rPr>
          <w:rFonts w:ascii="Calibri" w:eastAsia="Times New Roman" w:hAnsi="Calibri" w:cs="Arial"/>
          <w:color w:val="000000"/>
          <w:sz w:val="18"/>
          <w:szCs w:val="18"/>
        </w:rPr>
      </w:pPr>
      <w:r w:rsidRPr="006363CB">
        <w:rPr>
          <w:rFonts w:ascii="Calibri" w:eastAsia="Times New Roman" w:hAnsi="Calibri" w:cs="Arial"/>
          <w:color w:val="000000"/>
          <w:sz w:val="18"/>
          <w:szCs w:val="18"/>
        </w:rPr>
        <w:t>Fan C, Ye X, et al,</w:t>
      </w:r>
      <w:r w:rsidRPr="006363CB">
        <w:rPr>
          <w:rStyle w:val="apple-converted-space"/>
          <w:rFonts w:ascii="Calibri" w:eastAsia="Times New Roman" w:hAnsi="Calibri" w:cs="Arial"/>
          <w:b/>
          <w:bCs/>
          <w:color w:val="000000"/>
          <w:sz w:val="18"/>
          <w:szCs w:val="18"/>
        </w:rPr>
        <w:t> </w:t>
      </w:r>
      <w:r w:rsidRPr="006363CB">
        <w:rPr>
          <w:rFonts w:ascii="Calibri" w:eastAsia="Times New Roman" w:hAnsi="Calibri" w:cs="Arial"/>
          <w:b/>
          <w:bCs/>
          <w:color w:val="000000"/>
          <w:sz w:val="18"/>
          <w:szCs w:val="18"/>
        </w:rPr>
        <w:t>Cong Y*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>, Huang Z*. (2017) Beta-</w:t>
      </w:r>
      <w:proofErr w:type="spellStart"/>
      <w:r w:rsidRPr="006363CB">
        <w:rPr>
          <w:rFonts w:ascii="Calibri" w:eastAsia="Times New Roman" w:hAnsi="Calibri" w:cs="Arial"/>
          <w:color w:val="000000"/>
          <w:sz w:val="18"/>
          <w:szCs w:val="18"/>
        </w:rPr>
        <w:t>propiolactone</w:t>
      </w:r>
      <w:proofErr w:type="spellEnd"/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 inactivation of </w:t>
      </w:r>
      <w:proofErr w:type="spellStart"/>
      <w:r w:rsidRPr="006363CB">
        <w:rPr>
          <w:rFonts w:ascii="Calibri" w:eastAsia="Times New Roman" w:hAnsi="Calibri" w:cs="Arial"/>
          <w:color w:val="000000"/>
          <w:sz w:val="18"/>
          <w:szCs w:val="18"/>
        </w:rPr>
        <w:t>coxsackievirus</w:t>
      </w:r>
      <w:proofErr w:type="spellEnd"/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 A16 in</w:t>
      </w:r>
      <w:bookmarkStart w:id="0" w:name="_GoBack"/>
      <w:bookmarkEnd w:id="0"/>
      <w:r w:rsidRPr="006363CB">
        <w:rPr>
          <w:rFonts w:ascii="Calibri" w:eastAsia="Times New Roman" w:hAnsi="Calibri" w:cs="Arial"/>
          <w:color w:val="000000"/>
          <w:sz w:val="18"/>
          <w:szCs w:val="18"/>
        </w:rPr>
        <w:t>duces structural alteration and surface modification of viral capsids.</w:t>
      </w:r>
      <w:r w:rsidRPr="006363CB">
        <w:rPr>
          <w:rStyle w:val="apple-converted-space"/>
          <w:rFonts w:ascii="Calibri" w:eastAsia="Times New Roman" w:hAnsi="Calibri" w:cs="Arial"/>
          <w:color w:val="000000"/>
          <w:sz w:val="18"/>
          <w:szCs w:val="18"/>
        </w:rPr>
        <w:t> </w:t>
      </w:r>
      <w:hyperlink r:id="rId11" w:history="1">
        <w:r w:rsidRPr="006363CB">
          <w:rPr>
            <w:rStyle w:val="Hyperlink"/>
            <w:rFonts w:ascii="Calibri" w:eastAsia="Times New Roman" w:hAnsi="Calibri" w:cs="Arial"/>
            <w:b/>
            <w:bCs/>
            <w:i/>
            <w:iCs/>
            <w:color w:val="000000"/>
            <w:sz w:val="18"/>
            <w:szCs w:val="18"/>
            <w:u w:val="none"/>
          </w:rPr>
          <w:t>Journal of Virology</w:t>
        </w:r>
      </w:hyperlink>
      <w:r w:rsidRPr="006363CB">
        <w:rPr>
          <w:rStyle w:val="apple-converted-space"/>
          <w:rFonts w:ascii="Calibri" w:eastAsia="Times New Roman" w:hAnsi="Calibri" w:cs="Arial"/>
          <w:color w:val="000000"/>
          <w:sz w:val="18"/>
          <w:szCs w:val="18"/>
        </w:rPr>
        <w:t> 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>91:e00038-17.</w:t>
      </w:r>
    </w:p>
    <w:p w14:paraId="7F16ADEE" w14:textId="0F89DB4C" w:rsidR="00DD1999" w:rsidRPr="006363CB" w:rsidRDefault="00334D0B" w:rsidP="006363CB">
      <w:pPr>
        <w:widowControl/>
        <w:numPr>
          <w:ilvl w:val="0"/>
          <w:numId w:val="6"/>
        </w:numPr>
        <w:spacing w:before="100" w:beforeAutospacing="1" w:after="100" w:afterAutospacing="1" w:line="264" w:lineRule="auto"/>
        <w:jc w:val="both"/>
        <w:rPr>
          <w:rFonts w:ascii="Calibri" w:eastAsia="Times New Roman" w:hAnsi="Calibri" w:cs="Arial"/>
          <w:color w:val="000000"/>
          <w:sz w:val="18"/>
          <w:szCs w:val="18"/>
        </w:rPr>
      </w:pPr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Ding Z, Fu Z, </w:t>
      </w:r>
      <w:r w:rsidR="001C0344" w:rsidRPr="006363CB">
        <w:rPr>
          <w:rFonts w:ascii="Calibri" w:eastAsia="Times New Roman" w:hAnsi="Calibri" w:cs="Arial"/>
          <w:color w:val="000000"/>
          <w:sz w:val="18"/>
          <w:szCs w:val="18"/>
        </w:rPr>
        <w:t>et al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>,</w:t>
      </w:r>
      <w:r w:rsidRPr="006363CB">
        <w:rPr>
          <w:rStyle w:val="apple-converted-space"/>
          <w:rFonts w:ascii="Calibri" w:eastAsia="Times New Roman" w:hAnsi="Calibri" w:cs="Arial"/>
          <w:color w:val="000000"/>
          <w:sz w:val="18"/>
          <w:szCs w:val="18"/>
        </w:rPr>
        <w:t> </w:t>
      </w:r>
      <w:r w:rsidRPr="006363CB">
        <w:rPr>
          <w:rFonts w:ascii="Calibri" w:eastAsia="Times New Roman" w:hAnsi="Calibri" w:cs="Arial"/>
          <w:b/>
          <w:bCs/>
          <w:color w:val="000000"/>
          <w:sz w:val="18"/>
          <w:szCs w:val="18"/>
        </w:rPr>
        <w:t>Cong Y*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. </w:t>
      </w:r>
      <w:proofErr w:type="gramStart"/>
      <w:r w:rsidRPr="006363CB">
        <w:rPr>
          <w:rFonts w:ascii="Calibri" w:eastAsia="Times New Roman" w:hAnsi="Calibri" w:cs="Arial"/>
          <w:color w:val="000000"/>
          <w:sz w:val="18"/>
          <w:szCs w:val="18"/>
        </w:rPr>
        <w:t>(2017) High-resolution cryo-EM structure of the proteasome in complex with ADP-AlFx.</w:t>
      </w:r>
      <w:proofErr w:type="gramEnd"/>
      <w:r w:rsidRPr="006363CB">
        <w:rPr>
          <w:rStyle w:val="apple-converted-space"/>
          <w:rFonts w:ascii="Calibri" w:eastAsia="Times New Roman" w:hAnsi="Calibri" w:cs="Arial"/>
          <w:color w:val="000000"/>
          <w:sz w:val="18"/>
          <w:szCs w:val="18"/>
        </w:rPr>
        <w:t> </w:t>
      </w:r>
      <w:r w:rsidRPr="006363CB">
        <w:rPr>
          <w:rFonts w:ascii="Calibri" w:eastAsia="Times New Roman" w:hAnsi="Calibri" w:cs="Arial"/>
          <w:b/>
          <w:bCs/>
          <w:i/>
          <w:iCs/>
          <w:color w:val="000000"/>
          <w:sz w:val="18"/>
          <w:szCs w:val="18"/>
        </w:rPr>
        <w:t>Cell Research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>, 27:373–385.</w:t>
      </w:r>
    </w:p>
    <w:p w14:paraId="352492D7" w14:textId="37564188" w:rsidR="00DD1999" w:rsidRPr="006363CB" w:rsidRDefault="00334D0B" w:rsidP="006363CB">
      <w:pPr>
        <w:widowControl/>
        <w:numPr>
          <w:ilvl w:val="0"/>
          <w:numId w:val="6"/>
        </w:numPr>
        <w:spacing w:before="100" w:beforeAutospacing="1" w:after="100" w:afterAutospacing="1" w:line="264" w:lineRule="auto"/>
        <w:jc w:val="both"/>
        <w:rPr>
          <w:rFonts w:ascii="Calibri" w:eastAsia="Times New Roman" w:hAnsi="Calibri" w:cs="Arial"/>
          <w:color w:val="000000"/>
          <w:sz w:val="18"/>
          <w:szCs w:val="18"/>
        </w:rPr>
      </w:pPr>
      <w:proofErr w:type="spellStart"/>
      <w:r w:rsidRPr="006363CB">
        <w:rPr>
          <w:rFonts w:ascii="Calibri" w:eastAsia="Times New Roman" w:hAnsi="Calibri" w:cs="Arial"/>
          <w:color w:val="000000"/>
          <w:sz w:val="18"/>
          <w:szCs w:val="18"/>
        </w:rPr>
        <w:t>Zang</w:t>
      </w:r>
      <w:proofErr w:type="spellEnd"/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 Y, Jin M, </w:t>
      </w:r>
      <w:r w:rsidR="00DD1999" w:rsidRPr="006363CB">
        <w:rPr>
          <w:rFonts w:ascii="Calibri" w:eastAsia="Times New Roman" w:hAnsi="Calibri" w:cs="Arial"/>
          <w:color w:val="000000"/>
          <w:sz w:val="18"/>
          <w:szCs w:val="18"/>
        </w:rPr>
        <w:t>et al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>,</w:t>
      </w:r>
      <w:r w:rsidRPr="006363CB">
        <w:rPr>
          <w:rStyle w:val="apple-converted-space"/>
          <w:rFonts w:ascii="Calibri" w:eastAsia="Times New Roman" w:hAnsi="Calibri" w:cs="Arial"/>
          <w:color w:val="000000"/>
          <w:sz w:val="18"/>
          <w:szCs w:val="18"/>
        </w:rPr>
        <w:t> </w:t>
      </w:r>
      <w:r w:rsidRPr="006363CB">
        <w:rPr>
          <w:rFonts w:ascii="Calibri" w:eastAsia="Times New Roman" w:hAnsi="Calibri" w:cs="Arial"/>
          <w:b/>
          <w:bCs/>
          <w:color w:val="000000"/>
          <w:sz w:val="18"/>
          <w:szCs w:val="18"/>
        </w:rPr>
        <w:t>Cong Y*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. </w:t>
      </w:r>
      <w:proofErr w:type="gramStart"/>
      <w:r w:rsidRPr="006363CB">
        <w:rPr>
          <w:rFonts w:ascii="Calibri" w:eastAsia="Times New Roman" w:hAnsi="Calibri" w:cs="Arial"/>
          <w:color w:val="000000"/>
          <w:sz w:val="18"/>
          <w:szCs w:val="18"/>
        </w:rPr>
        <w:t>(2016) Staggered ATP-binding mechanism of eukaryotic chaperonin TRiC/CCT revealed by high-resolution cryo-EM.</w:t>
      </w:r>
      <w:proofErr w:type="gramEnd"/>
      <w:r w:rsidRPr="006363CB">
        <w:rPr>
          <w:rStyle w:val="apple-converted-space"/>
          <w:rFonts w:ascii="Calibri" w:eastAsia="Times New Roman" w:hAnsi="Calibri" w:cs="Arial"/>
          <w:color w:val="000000"/>
          <w:sz w:val="18"/>
          <w:szCs w:val="18"/>
        </w:rPr>
        <w:t> </w:t>
      </w:r>
      <w:r w:rsidRPr="006363CB">
        <w:rPr>
          <w:rFonts w:ascii="Calibri" w:eastAsia="Times New Roman" w:hAnsi="Calibri" w:cs="Arial"/>
          <w:b/>
          <w:bCs/>
          <w:i/>
          <w:iCs/>
          <w:color w:val="000000"/>
          <w:sz w:val="18"/>
          <w:szCs w:val="18"/>
        </w:rPr>
        <w:t xml:space="preserve">Nat </w:t>
      </w:r>
      <w:proofErr w:type="spellStart"/>
      <w:r w:rsidRPr="006363CB">
        <w:rPr>
          <w:rFonts w:ascii="Calibri" w:eastAsia="Times New Roman" w:hAnsi="Calibri" w:cs="Arial"/>
          <w:b/>
          <w:bCs/>
          <w:i/>
          <w:iCs/>
          <w:color w:val="000000"/>
          <w:sz w:val="18"/>
          <w:szCs w:val="18"/>
        </w:rPr>
        <w:t>Struct</w:t>
      </w:r>
      <w:proofErr w:type="spellEnd"/>
      <w:r w:rsidRPr="006363CB">
        <w:rPr>
          <w:rFonts w:ascii="Calibri" w:eastAsia="Times New Roman" w:hAnsi="Calibri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6363CB">
        <w:rPr>
          <w:rFonts w:ascii="Calibri" w:eastAsia="Times New Roman" w:hAnsi="Calibri" w:cs="Arial"/>
          <w:b/>
          <w:bCs/>
          <w:i/>
          <w:iCs/>
          <w:color w:val="000000"/>
          <w:sz w:val="18"/>
          <w:szCs w:val="18"/>
        </w:rPr>
        <w:t>Mol</w:t>
      </w:r>
      <w:proofErr w:type="spellEnd"/>
      <w:r w:rsidRPr="006363CB">
        <w:rPr>
          <w:rFonts w:ascii="Calibri" w:eastAsia="Times New Roman" w:hAnsi="Calibri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6363CB">
        <w:rPr>
          <w:rFonts w:ascii="Calibri" w:eastAsia="Times New Roman" w:hAnsi="Calibri" w:cs="Arial"/>
          <w:b/>
          <w:bCs/>
          <w:i/>
          <w:iCs/>
          <w:color w:val="000000"/>
          <w:sz w:val="18"/>
          <w:szCs w:val="18"/>
        </w:rPr>
        <w:t>Biol</w:t>
      </w:r>
      <w:proofErr w:type="spellEnd"/>
      <w:r w:rsidRPr="006363CB">
        <w:rPr>
          <w:rFonts w:ascii="Calibri" w:eastAsia="Times New Roman" w:hAnsi="Calibri" w:cs="Arial"/>
          <w:color w:val="000000"/>
          <w:sz w:val="18"/>
          <w:szCs w:val="18"/>
        </w:rPr>
        <w:t>, 23(12)</w:t>
      </w:r>
      <w:proofErr w:type="gramStart"/>
      <w:r w:rsidRPr="006363CB">
        <w:rPr>
          <w:rFonts w:ascii="Calibri" w:eastAsia="Times New Roman" w:hAnsi="Calibri" w:cs="Arial"/>
          <w:color w:val="000000"/>
          <w:sz w:val="18"/>
          <w:szCs w:val="18"/>
        </w:rPr>
        <w:t>:1083</w:t>
      </w:r>
      <w:proofErr w:type="gramEnd"/>
      <w:r w:rsidRPr="006363CB">
        <w:rPr>
          <w:rFonts w:ascii="Calibri" w:eastAsia="Times New Roman" w:hAnsi="Calibri" w:cs="Arial"/>
          <w:color w:val="000000"/>
          <w:sz w:val="18"/>
          <w:szCs w:val="18"/>
        </w:rPr>
        <w:t>-1091.</w:t>
      </w:r>
    </w:p>
    <w:p w14:paraId="4022B9BD" w14:textId="19DF4FA2" w:rsidR="00AE3E37" w:rsidRPr="006363CB" w:rsidRDefault="00334D0B" w:rsidP="006363CB">
      <w:pPr>
        <w:widowControl/>
        <w:numPr>
          <w:ilvl w:val="0"/>
          <w:numId w:val="6"/>
        </w:numPr>
        <w:spacing w:before="100" w:beforeAutospacing="1" w:after="100" w:afterAutospacing="1" w:line="264" w:lineRule="auto"/>
        <w:jc w:val="both"/>
        <w:rPr>
          <w:rFonts w:ascii="Calibri" w:eastAsia="Times New Roman" w:hAnsi="Calibri" w:cs="Arial"/>
          <w:color w:val="000000"/>
          <w:sz w:val="18"/>
          <w:szCs w:val="18"/>
        </w:rPr>
      </w:pPr>
      <w:r w:rsidRPr="006363CB">
        <w:rPr>
          <w:rFonts w:ascii="Calibri" w:eastAsia="Times New Roman" w:hAnsi="Calibri" w:cs="Arial"/>
          <w:color w:val="000000"/>
          <w:sz w:val="18"/>
          <w:szCs w:val="18"/>
        </w:rPr>
        <w:t>Ye X, Fan C, et al, Huang Z*,</w:t>
      </w:r>
      <w:r w:rsidRPr="006363CB">
        <w:rPr>
          <w:rStyle w:val="apple-converted-space"/>
          <w:rFonts w:ascii="Calibri" w:eastAsia="Times New Roman" w:hAnsi="Calibri" w:cs="Arial"/>
          <w:color w:val="000000"/>
          <w:sz w:val="18"/>
          <w:szCs w:val="18"/>
        </w:rPr>
        <w:t> </w:t>
      </w:r>
      <w:r w:rsidRPr="006363CB">
        <w:rPr>
          <w:rFonts w:ascii="Calibri" w:eastAsia="Times New Roman" w:hAnsi="Calibri" w:cs="Arial"/>
          <w:b/>
          <w:bCs/>
          <w:color w:val="000000"/>
          <w:sz w:val="18"/>
          <w:szCs w:val="18"/>
        </w:rPr>
        <w:t>Cong Y*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. </w:t>
      </w:r>
      <w:proofErr w:type="gramStart"/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(2016) Structural Basis for Recognition of Human </w:t>
      </w:r>
      <w:proofErr w:type="spellStart"/>
      <w:r w:rsidRPr="006363CB">
        <w:rPr>
          <w:rFonts w:ascii="Calibri" w:eastAsia="Times New Roman" w:hAnsi="Calibri" w:cs="Arial"/>
          <w:color w:val="000000"/>
          <w:sz w:val="18"/>
          <w:szCs w:val="18"/>
        </w:rPr>
        <w:t>Enterovirus</w:t>
      </w:r>
      <w:proofErr w:type="spellEnd"/>
      <w:r w:rsidRPr="006363CB">
        <w:rPr>
          <w:rFonts w:ascii="Calibri" w:eastAsia="Times New Roman" w:hAnsi="Calibri" w:cs="Arial"/>
          <w:color w:val="000000"/>
          <w:sz w:val="18"/>
          <w:szCs w:val="18"/>
        </w:rPr>
        <w:t xml:space="preserve"> 71 by a Bivalent Broadly Neutralizing Monoclonal Antibody.</w:t>
      </w:r>
      <w:proofErr w:type="gramEnd"/>
      <w:r w:rsidRPr="006363CB">
        <w:rPr>
          <w:rStyle w:val="apple-converted-space"/>
          <w:rFonts w:ascii="Calibri" w:eastAsia="Times New Roman" w:hAnsi="Calibri" w:cs="Arial"/>
          <w:color w:val="000000"/>
          <w:sz w:val="18"/>
          <w:szCs w:val="18"/>
        </w:rPr>
        <w:t> </w:t>
      </w:r>
      <w:proofErr w:type="spellStart"/>
      <w:r w:rsidRPr="006363CB">
        <w:rPr>
          <w:rFonts w:ascii="Calibri" w:eastAsia="Times New Roman" w:hAnsi="Calibri" w:cs="Arial"/>
          <w:b/>
          <w:bCs/>
          <w:i/>
          <w:iCs/>
          <w:color w:val="000000"/>
          <w:sz w:val="18"/>
          <w:szCs w:val="18"/>
        </w:rPr>
        <w:t>PLoS</w:t>
      </w:r>
      <w:proofErr w:type="spellEnd"/>
      <w:r w:rsidRPr="006363CB">
        <w:rPr>
          <w:rFonts w:ascii="Calibri" w:eastAsia="Times New Roman" w:hAnsi="Calibri" w:cs="Arial"/>
          <w:b/>
          <w:bCs/>
          <w:i/>
          <w:iCs/>
          <w:color w:val="000000"/>
          <w:sz w:val="18"/>
          <w:szCs w:val="18"/>
        </w:rPr>
        <w:t xml:space="preserve"> Pathogens</w:t>
      </w:r>
      <w:r w:rsidRPr="006363CB">
        <w:rPr>
          <w:rFonts w:ascii="Calibri" w:eastAsia="Times New Roman" w:hAnsi="Calibri" w:cs="Arial"/>
          <w:color w:val="000000"/>
          <w:sz w:val="18"/>
          <w:szCs w:val="18"/>
        </w:rPr>
        <w:t>, 12(3)</w:t>
      </w:r>
      <w:proofErr w:type="gramStart"/>
      <w:r w:rsidRPr="006363CB">
        <w:rPr>
          <w:rFonts w:ascii="Calibri" w:eastAsia="Times New Roman" w:hAnsi="Calibri" w:cs="Arial"/>
          <w:color w:val="000000"/>
          <w:sz w:val="18"/>
          <w:szCs w:val="18"/>
        </w:rPr>
        <w:t>:e1005454</w:t>
      </w:r>
      <w:proofErr w:type="gramEnd"/>
      <w:r w:rsidRPr="006363CB">
        <w:rPr>
          <w:rFonts w:ascii="Calibri" w:eastAsia="Times New Roman" w:hAnsi="Calibri" w:cs="Arial"/>
          <w:color w:val="000000"/>
          <w:sz w:val="18"/>
          <w:szCs w:val="18"/>
        </w:rPr>
        <w:t>.</w:t>
      </w:r>
    </w:p>
    <w:p w14:paraId="0F3C543D" w14:textId="49F57629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18787411" w14:textId="77777777" w:rsidR="00AE3E37" w:rsidRDefault="00AE3E37">
      <w:pPr>
        <w:pStyle w:val="BodyText"/>
        <w:rPr>
          <w:rFonts w:ascii="Calibri"/>
          <w:sz w:val="20"/>
        </w:rPr>
      </w:pPr>
    </w:p>
    <w:p w14:paraId="600963B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F50E7A0" wp14:editId="2DD2ACA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0BDCCCA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343AF35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56DD5">
        <w:rPr>
          <w:noProof/>
        </w:rPr>
        <w:drawing>
          <wp:inline distT="0" distB="0" distL="0" distR="0" wp14:anchorId="06377AF6" wp14:editId="3FFDBC39">
            <wp:extent cx="628953" cy="9144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22-color-v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83" cy="91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36A57FE3" w14:textId="76E7EF63" w:rsidR="00023976" w:rsidRDefault="00034E9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Yao Cong and her laboratory are</w:t>
      </w:r>
      <w:r w:rsidR="00023976" w:rsidRPr="00023976">
        <w:rPr>
          <w:rFonts w:ascii="Arial"/>
          <w:sz w:val="14"/>
        </w:rPr>
        <w:t xml:space="preserve"> focused on elucidating the ATP-driven activation and substrate processing mechanisms of two protein quality control macromolecular machines including eukaryotic chaperonin TRiC/CCT and proteasome, and the structural basis for vaccine and drug development against causative agents of hand-foot and mouth disease. Accompanying this is an effort to develop new technologies for accurate subunit identification through cryo-EM analysis.</w:t>
      </w:r>
      <w:r w:rsidR="00023976" w:rsidRPr="00023976">
        <w:rPr>
          <w:rFonts w:ascii="Arial"/>
          <w:sz w:val="14"/>
        </w:rPr>
        <w:t>  </w:t>
      </w:r>
    </w:p>
    <w:p w14:paraId="0627F612" w14:textId="77777777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556DD5">
        <w:rPr>
          <w:rFonts w:ascii="Arial"/>
          <w:sz w:val="14"/>
        </w:rPr>
        <w:t>cong@sibcb.ac.cn</w:t>
      </w:r>
    </w:p>
    <w:p w14:paraId="4617B268" w14:textId="77777777"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556DD5">
        <w:rPr>
          <w:rStyle w:val="Hyperlink"/>
          <w:rFonts w:ascii="Arial"/>
          <w:color w:val="auto"/>
          <w:sz w:val="14"/>
          <w:u w:val="none"/>
        </w:rPr>
        <w:t>+86-21-21778199</w:t>
      </w:r>
    </w:p>
    <w:p w14:paraId="16241D85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35547CF3" wp14:editId="054A515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46A168A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28D33B6" w14:textId="77777777" w:rsidR="00AE3E37" w:rsidRDefault="00AE3E37">
      <w:pPr>
        <w:pStyle w:val="BodyText"/>
        <w:rPr>
          <w:rFonts w:ascii="Arial"/>
          <w:sz w:val="20"/>
        </w:rPr>
      </w:pPr>
    </w:p>
    <w:p w14:paraId="7E059006" w14:textId="77777777" w:rsidR="00AE3E37" w:rsidRDefault="00AE3E37">
      <w:pPr>
        <w:pStyle w:val="BodyText"/>
        <w:rPr>
          <w:rFonts w:ascii="Arial"/>
          <w:sz w:val="20"/>
        </w:rPr>
      </w:pPr>
    </w:p>
    <w:p w14:paraId="36733E41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E2808C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0E5608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AB42747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C65747" w14:textId="77777777" w:rsidR="00DD1999" w:rsidRDefault="00DD1999">
      <w:r>
        <w:separator/>
      </w:r>
    </w:p>
  </w:endnote>
  <w:endnote w:type="continuationSeparator" w:id="0">
    <w:p w14:paraId="45BCD0B6" w14:textId="77777777" w:rsidR="00DD1999" w:rsidRDefault="00DD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18E01" w14:textId="77777777" w:rsidR="00DD1999" w:rsidRDefault="00DD199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36C78F2" wp14:editId="3368B98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BF7B6E" w14:textId="77777777" w:rsidR="00DD1999" w:rsidRPr="005B3A56" w:rsidRDefault="00DD199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EEF2180" w14:textId="77777777" w:rsidR="00DD1999" w:rsidRPr="005B3A56" w:rsidRDefault="00DD199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hYLECAACw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vcynJqtmDeSPoGC&#10;lQSBgRZh7IFRS/UTox5GSI71jx1RDKPmo4BXYOfNZKjJ2EwGESVczbHBaDSXZpxLu07xbQ3I4zsT&#10;8hZeSsWdiE8sDu8LxoLL5TDC7Nx5+e+8ToN28Rs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Anp2Fg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7ABF7B6E" w14:textId="77777777" w:rsidR="00DD1999" w:rsidRPr="005B3A56" w:rsidRDefault="00DD199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EEF2180" w14:textId="77777777" w:rsidR="00DD1999" w:rsidRPr="005B3A56" w:rsidRDefault="00DD199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3A13851" wp14:editId="6AFA6CF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5BD6B3" w14:textId="77777777" w:rsidR="00DD1999" w:rsidRPr="005B3A56" w:rsidRDefault="00DD199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9484D0C" w14:textId="77777777" w:rsidR="00DD1999" w:rsidRPr="005B3A56" w:rsidRDefault="00DD199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275BD6B3" w14:textId="77777777" w:rsidR="00DD1999" w:rsidRPr="005B3A56" w:rsidRDefault="00DD199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9484D0C" w14:textId="77777777" w:rsidR="00DD1999" w:rsidRPr="005B3A56" w:rsidRDefault="00DD199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4323A83" wp14:editId="35FB68D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BFBAB2" w14:textId="77777777" w:rsidR="00DD1999" w:rsidRPr="005B3A56" w:rsidRDefault="00DD199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46A113B" w14:textId="77777777" w:rsidR="00DD1999" w:rsidRPr="005B3A56" w:rsidRDefault="00DD199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vUBq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Mx3ewlfQJFKwkCAy0&#10;CGMPjEqq7xh1MEIyrL/tiWIY1e8FvAI7b0ZDjcZ2NIgo4GqGDUaDuTLDXNq3iu8qQB7emZC38FJK&#10;7kRsn9SQBTCwCxgLjstxhNm5c752Xs+Ddvk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AaL1Aa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36BFBAB2" w14:textId="77777777" w:rsidR="00DD1999" w:rsidRPr="005B3A56" w:rsidRDefault="00DD199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46A113B" w14:textId="77777777" w:rsidR="00DD1999" w:rsidRPr="005B3A56" w:rsidRDefault="00DD199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1E5E81" w14:textId="77777777" w:rsidR="00DD1999" w:rsidRDefault="00DD1999">
      <w:r>
        <w:separator/>
      </w:r>
    </w:p>
  </w:footnote>
  <w:footnote w:type="continuationSeparator" w:id="0">
    <w:p w14:paraId="24B73F6F" w14:textId="77777777" w:rsidR="00DD1999" w:rsidRDefault="00DD199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674D2" w14:textId="77777777" w:rsidR="00DD1999" w:rsidRDefault="00DD199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197E6BA" wp14:editId="7B7B475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F2C5BF" w14:textId="77777777" w:rsidR="00DD1999" w:rsidRPr="005B3A56" w:rsidRDefault="00DD199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498F398" w14:textId="77777777" w:rsidR="00DD1999" w:rsidRPr="005B3A56" w:rsidRDefault="00DD199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08F2C5BF" w14:textId="77777777" w:rsidR="00DD1999" w:rsidRPr="005B3A56" w:rsidRDefault="00DD1999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498F398" w14:textId="77777777" w:rsidR="00DD1999" w:rsidRPr="005B3A56" w:rsidRDefault="00DD199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251FB"/>
    <w:multiLevelType w:val="hybridMultilevel"/>
    <w:tmpl w:val="B7328B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E0E5A0F"/>
    <w:multiLevelType w:val="hybridMultilevel"/>
    <w:tmpl w:val="65A83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B66C90"/>
    <w:multiLevelType w:val="multilevel"/>
    <w:tmpl w:val="3E04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3976"/>
    <w:rsid w:val="00034E98"/>
    <w:rsid w:val="000642C6"/>
    <w:rsid w:val="00065718"/>
    <w:rsid w:val="00071FF1"/>
    <w:rsid w:val="000D458D"/>
    <w:rsid w:val="000E2911"/>
    <w:rsid w:val="001263DF"/>
    <w:rsid w:val="001C0344"/>
    <w:rsid w:val="001E67A2"/>
    <w:rsid w:val="00215121"/>
    <w:rsid w:val="002220FB"/>
    <w:rsid w:val="00292ED9"/>
    <w:rsid w:val="00334D0B"/>
    <w:rsid w:val="003C3E6C"/>
    <w:rsid w:val="003F72AD"/>
    <w:rsid w:val="003F7980"/>
    <w:rsid w:val="00404E5B"/>
    <w:rsid w:val="00414F7B"/>
    <w:rsid w:val="004355DC"/>
    <w:rsid w:val="004749B4"/>
    <w:rsid w:val="00494130"/>
    <w:rsid w:val="004F3523"/>
    <w:rsid w:val="00556DD5"/>
    <w:rsid w:val="005973B9"/>
    <w:rsid w:val="005B3A56"/>
    <w:rsid w:val="006060CE"/>
    <w:rsid w:val="0063497F"/>
    <w:rsid w:val="006363CB"/>
    <w:rsid w:val="00676CCC"/>
    <w:rsid w:val="006910C5"/>
    <w:rsid w:val="00827B1F"/>
    <w:rsid w:val="00873DF0"/>
    <w:rsid w:val="008756E6"/>
    <w:rsid w:val="009B2D44"/>
    <w:rsid w:val="00A07E82"/>
    <w:rsid w:val="00A46E98"/>
    <w:rsid w:val="00A9710C"/>
    <w:rsid w:val="00AE3E37"/>
    <w:rsid w:val="00B21A57"/>
    <w:rsid w:val="00C33602"/>
    <w:rsid w:val="00CC00DB"/>
    <w:rsid w:val="00CD6F55"/>
    <w:rsid w:val="00D91799"/>
    <w:rsid w:val="00DD1999"/>
    <w:rsid w:val="00DE3104"/>
    <w:rsid w:val="00E029EB"/>
    <w:rsid w:val="00E9016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EC306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334D0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334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8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jvi.asm.org/content/88/1/72.long" TargetMode="External"/><Relationship Id="rId12" Type="http://schemas.openxmlformats.org/officeDocument/2006/relationships/image" Target="media/image2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580</Words>
  <Characters>3309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Yao Cong</cp:lastModifiedBy>
  <cp:revision>15</cp:revision>
  <dcterms:created xsi:type="dcterms:W3CDTF">2018-05-31T09:52:00Z</dcterms:created>
  <dcterms:modified xsi:type="dcterms:W3CDTF">2018-05-31T11:20:00Z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