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07748E" w:rsidRDefault="0007748E" w:rsidP="00814DB9">
      <w:pPr>
        <w:pStyle w:val="1"/>
        <w:spacing w:line="360" w:lineRule="auto"/>
        <w:rPr>
          <w:color w:val="337AB7"/>
          <w:sz w:val="32"/>
        </w:rPr>
      </w:pPr>
      <w:bookmarkStart w:id="0" w:name="OLE_LINK80"/>
      <w:bookmarkStart w:id="1" w:name="OLE_LINK81"/>
      <w:bookmarkStart w:id="2" w:name="OLE_LINK73"/>
      <w:bookmarkStart w:id="3" w:name="OLE_LINK74"/>
      <w:r w:rsidRPr="0007748E">
        <w:rPr>
          <w:color w:val="337AB7"/>
          <w:sz w:val="32"/>
        </w:rPr>
        <w:t>Comparison of Three Sample Size Estimation Methods for Non-Inferiority Vaccine Trials with multiple continuous co-primary endpoints</w:t>
      </w:r>
      <w:bookmarkEnd w:id="0"/>
      <w:bookmarkEnd w:id="1"/>
      <w:bookmarkEnd w:id="2"/>
      <w:bookmarkEnd w:id="3"/>
    </w:p>
    <w:p w:rsidR="00AE3E37" w:rsidRPr="00814DB9" w:rsidRDefault="0007748E" w:rsidP="00814DB9">
      <w:pPr>
        <w:pStyle w:val="a3"/>
        <w:spacing w:before="73" w:line="360" w:lineRule="auto"/>
        <w:ind w:left="100" w:right="5987"/>
        <w:rPr>
          <w:rFonts w:ascii="Arial"/>
          <w:sz w:val="16"/>
        </w:rPr>
      </w:pPr>
      <w:r w:rsidRPr="0007748E">
        <w:rPr>
          <w:rFonts w:ascii="Arial"/>
          <w:sz w:val="16"/>
        </w:rPr>
        <w:t>Yang Jiaying</w:t>
      </w:r>
      <w:r w:rsidR="005973B9" w:rsidRPr="0007748E">
        <w:rPr>
          <w:rFonts w:ascii="Arial"/>
          <w:sz w:val="16"/>
        </w:rPr>
        <w:t xml:space="preserve">, </w:t>
      </w:r>
      <w:r w:rsidRPr="0007748E">
        <w:rPr>
          <w:rFonts w:ascii="Arial"/>
          <w:sz w:val="16"/>
        </w:rPr>
        <w:t>Ph.D</w:t>
      </w:r>
      <w:r w:rsidRPr="0007748E">
        <w:rPr>
          <w:rFonts w:ascii="Arial"/>
          <w:sz w:val="16"/>
        </w:rPr>
        <w:t> </w:t>
      </w:r>
      <w:r w:rsidRPr="0007748E">
        <w:rPr>
          <w:rFonts w:ascii="Arial"/>
          <w:sz w:val="16"/>
        </w:rPr>
        <w:t>Candidate</w:t>
      </w:r>
      <w:r w:rsidR="005973B9" w:rsidRPr="0007748E">
        <w:rPr>
          <w:rFonts w:ascii="Arial"/>
          <w:sz w:val="16"/>
        </w:rPr>
        <w:t xml:space="preserve">, </w:t>
      </w:r>
      <w:r w:rsidRPr="0007748E">
        <w:rPr>
          <w:rFonts w:ascii="Arial"/>
          <w:sz w:val="16"/>
        </w:rPr>
        <w:t>Southeast University, China</w:t>
      </w:r>
    </w:p>
    <w:p w:rsidR="0007748E" w:rsidRDefault="0007748E">
      <w:pPr>
        <w:rPr>
          <w:rFonts w:ascii="Arial"/>
          <w:sz w:val="21"/>
        </w:rPr>
        <w:sectPr w:rsidR="0007748E">
          <w:headerReference w:type="default" r:id="rId7"/>
          <w:footerReference w:type="default" r:id="rId8"/>
          <w:type w:val="continuous"/>
          <w:pgSz w:w="11910" w:h="16840"/>
          <w:pgMar w:top="1740" w:right="600" w:bottom="840" w:left="620" w:header="541" w:footer="642" w:gutter="0"/>
          <w:cols w:space="720"/>
        </w:sectPr>
      </w:pPr>
    </w:p>
    <w:p w:rsidR="00AE3E37" w:rsidRDefault="00A9710C" w:rsidP="00885B4C">
      <w:pPr>
        <w:pStyle w:val="3"/>
        <w:spacing w:before="147" w:line="480" w:lineRule="auto"/>
        <w:jc w:val="both"/>
      </w:pPr>
      <w:r>
        <w:rPr>
          <w:color w:val="BF5A14"/>
        </w:rPr>
        <w:t>Abstract</w:t>
      </w:r>
    </w:p>
    <w:p w:rsidR="00885B4C" w:rsidRPr="00D97AFB" w:rsidRDefault="00885B4C" w:rsidP="00814DB9">
      <w:pPr>
        <w:spacing w:line="360" w:lineRule="auto"/>
        <w:rPr>
          <w:sz w:val="24"/>
        </w:rPr>
      </w:pPr>
      <w:r w:rsidRPr="00D97AFB">
        <w:rPr>
          <w:sz w:val="24"/>
        </w:rPr>
        <w:t>Combination vaccines have been extensively used for decades and bring together the issue of intersection-union. To make up for the reduction in statistical power at the study level, researchers have to increase the study sample size. In view of the nature of immunogenicity variables, we use the geometric mean concentration of immune response after vaccination as immunologic endpoint and compare three sample size calculation methods: the “Inflation factors” method, the “Incrementing method” and the Bonferroni correction method when there are multiple continuous co-primary endpoints. The parameters are set according to the actual situation of combination vaccines and the simulation results were used as reference. The present study demonstrates that the “Incrementing method”, the Bonferroni corrected method and the “Inflation factors method” are all available when the effect size of each endpoint is comparable and there is no or weak correlation between each endpoint. When there is a valid difference of effect sizes among endpoints, the “Incrementing method” performs better.</w:t>
      </w:r>
    </w:p>
    <w:p w:rsidR="00AE3E37" w:rsidRDefault="00622832">
      <w:pPr>
        <w:pStyle w:val="a3"/>
        <w:spacing w:before="90" w:line="280" w:lineRule="auto"/>
        <w:ind w:left="100"/>
        <w:jc w:val="both"/>
      </w:pPr>
      <w:r w:rsidRPr="00622832">
        <w:rPr>
          <w:rFonts w:ascii="Calibri"/>
          <w:noProof/>
          <w:sz w:val="20"/>
          <w:lang w:eastAsia="zh-CN"/>
        </w:rPr>
        <w:drawing>
          <wp:anchor distT="0" distB="0" distL="114300" distR="114300" simplePos="0" relativeHeight="251659264" behindDoc="0" locked="0" layoutInCell="1" allowOverlap="1">
            <wp:simplePos x="0" y="0"/>
            <wp:positionH relativeFrom="column">
              <wp:posOffset>320675</wp:posOffset>
            </wp:positionH>
            <wp:positionV relativeFrom="paragraph">
              <wp:posOffset>50165</wp:posOffset>
            </wp:positionV>
            <wp:extent cx="653415" cy="915035"/>
            <wp:effectExtent l="0" t="0" r="0" b="0"/>
            <wp:wrapSquare wrapText="bothSides"/>
            <wp:docPr id="1" name="图片 1" descr="C:\Users\Think\Desktop\Photo_20141219140109Q1M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Desktop\Photo_20141219140109Q1M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3415" cy="91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A9710C">
      <w:pPr>
        <w:pStyle w:val="3"/>
        <w:spacing w:before="74"/>
      </w:pPr>
      <w:r>
        <w:rPr>
          <w:b w:val="0"/>
        </w:rPr>
        <w:br w:type="column"/>
      </w:r>
      <w:r>
        <w:rPr>
          <w:color w:val="BF5A14"/>
        </w:rPr>
        <w:t>Image</w:t>
      </w:r>
    </w:p>
    <w:p w:rsidR="00AE3E37" w:rsidRPr="00574B15" w:rsidRDefault="00574B15">
      <w:pPr>
        <w:pStyle w:val="a3"/>
        <w:spacing w:before="2"/>
        <w:rPr>
          <w:rFonts w:ascii="Arial"/>
          <w:sz w:val="16"/>
        </w:rPr>
      </w:pPr>
      <w:r w:rsidRPr="00574B15">
        <w:rPr>
          <w:rFonts w:ascii="Arial"/>
          <w:b/>
          <w:noProof/>
          <w:sz w:val="16"/>
          <w:lang w:eastAsia="zh-CN"/>
        </w:rPr>
        <w:drawing>
          <wp:inline distT="0" distB="0" distL="0" distR="0">
            <wp:extent cx="2879677" cy="2677948"/>
            <wp:effectExtent l="0" t="0" r="0" b="8255"/>
            <wp:docPr id="2" name="图片 2" descr="E:\share\5.学术研究\3.基于模拟的全局功效计算\连续资料\3投稿\Figure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re\5.学术研究\3.基于模拟的全局功效计算\连续资料\3投稿\Figure1.ti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2687" cy="268074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574B15" w:rsidRPr="00D97AFB" w:rsidRDefault="00574B15" w:rsidP="00D97AFB">
      <w:pPr>
        <w:pStyle w:val="a4"/>
        <w:numPr>
          <w:ilvl w:val="0"/>
          <w:numId w:val="3"/>
        </w:numPr>
        <w:tabs>
          <w:tab w:val="left" w:pos="384"/>
        </w:tabs>
        <w:spacing w:before="103" w:line="240" w:lineRule="auto"/>
        <w:ind w:right="138" w:hanging="283"/>
        <w:rPr>
          <w:sz w:val="16"/>
        </w:rPr>
      </w:pPr>
      <w:r w:rsidRPr="00D97AFB">
        <w:rPr>
          <w:sz w:val="16"/>
        </w:rPr>
        <w:t>Yang J, He J, Yu M, Li T, Luo L, Liu P. The efficacy and safety of platinum plus gemcitabine (PG) chemotherapy with or without molecular targeted agent (MTA) in first-line treatment of non-small cell lung cancer (NSCLC). Medicine (Baltimore) 2016; 95(50): e5599.</w:t>
      </w:r>
    </w:p>
    <w:p w:rsidR="00574B15" w:rsidRPr="00D97AFB" w:rsidRDefault="00574B15" w:rsidP="00D97AFB">
      <w:pPr>
        <w:pStyle w:val="a4"/>
        <w:numPr>
          <w:ilvl w:val="0"/>
          <w:numId w:val="3"/>
        </w:numPr>
        <w:tabs>
          <w:tab w:val="left" w:pos="384"/>
        </w:tabs>
        <w:spacing w:before="103" w:line="240" w:lineRule="auto"/>
        <w:ind w:right="138" w:hanging="283"/>
        <w:rPr>
          <w:sz w:val="16"/>
        </w:rPr>
      </w:pPr>
      <w:r w:rsidRPr="00D97AFB">
        <w:rPr>
          <w:sz w:val="16"/>
        </w:rPr>
        <w:t>Li T, Zhao J, Yang J, et al. Correction: A Meta-Analysis of the Association between ESR1 Genetic Variants and the Risk of Breast Cancer. PLoS One 2018; 13(1): e0191579.</w:t>
      </w:r>
    </w:p>
    <w:p w:rsidR="00574B15" w:rsidRPr="00D97AFB" w:rsidRDefault="00574B15" w:rsidP="00D97AFB">
      <w:pPr>
        <w:pStyle w:val="a4"/>
        <w:numPr>
          <w:ilvl w:val="0"/>
          <w:numId w:val="3"/>
        </w:numPr>
        <w:tabs>
          <w:tab w:val="left" w:pos="384"/>
        </w:tabs>
        <w:spacing w:before="103" w:line="240" w:lineRule="auto"/>
        <w:ind w:right="138" w:hanging="283"/>
        <w:rPr>
          <w:sz w:val="16"/>
        </w:rPr>
      </w:pPr>
      <w:r w:rsidRPr="00D97AFB">
        <w:rPr>
          <w:sz w:val="16"/>
        </w:rPr>
        <w:t>Wang SY, Liu SZ, Chu K, et al. Immunogenicity and safety of an inactivated quadrivalent influenza vaccine candidate versus inactivated trivalent influenza vaccines in participants &gt;/=3 years of age: a double-blind, randomized, parallel-controlled phase III clinical trial in China. Expert Rev Vaccines 2017; 16(11): 1155-69.</w:t>
      </w:r>
    </w:p>
    <w:p w:rsidR="00686F45" w:rsidRPr="00D97AFB" w:rsidRDefault="00574B15" w:rsidP="00D97AFB">
      <w:pPr>
        <w:pStyle w:val="a4"/>
        <w:numPr>
          <w:ilvl w:val="0"/>
          <w:numId w:val="3"/>
        </w:numPr>
        <w:tabs>
          <w:tab w:val="left" w:pos="384"/>
        </w:tabs>
        <w:spacing w:before="103" w:line="240" w:lineRule="auto"/>
        <w:ind w:right="138" w:hanging="283"/>
        <w:rPr>
          <w:sz w:val="16"/>
        </w:rPr>
      </w:pPr>
      <w:r w:rsidRPr="00D97AFB">
        <w:rPr>
          <w:sz w:val="16"/>
        </w:rPr>
        <w:t>Luo L, Cheng X, Wang S, et al. Blended learning with Moodle in medical statistics: an assessment of knowledge, attitudes and practices relating to e-learning. BMC medical education 2017; 17(1): 170.</w:t>
      </w:r>
    </w:p>
    <w:p w:rsidR="00AE3E37" w:rsidRPr="00D97AFB" w:rsidRDefault="00686F45" w:rsidP="00D97AFB">
      <w:pPr>
        <w:pStyle w:val="a4"/>
        <w:numPr>
          <w:ilvl w:val="0"/>
          <w:numId w:val="3"/>
        </w:numPr>
        <w:tabs>
          <w:tab w:val="left" w:pos="384"/>
        </w:tabs>
        <w:spacing w:before="103" w:line="240" w:lineRule="auto"/>
        <w:ind w:right="138" w:hanging="283"/>
        <w:rPr>
          <w:sz w:val="16"/>
        </w:rPr>
      </w:pPr>
      <w:r w:rsidRPr="00D97AFB">
        <w:rPr>
          <w:sz w:val="16"/>
        </w:rPr>
        <w:t>Yu M, Dai ZJ, Tang XW, et al. Convergence and Divergence of Brain Network Dysfunction in Deficit and Non-deficit Schizophrenia. Schizophrenia bulletin 2017; 43(6): 1315-28.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4" w:name="_GoBack"/>
      <w:bookmarkEnd w:id="4"/>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A964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622832">
      <w:pPr>
        <w:spacing w:before="92" w:line="360" w:lineRule="auto"/>
        <w:ind w:right="4234"/>
        <w:rPr>
          <w:rFonts w:ascii="Arial"/>
        </w:rPr>
      </w:pPr>
      <w:r>
        <w:rPr>
          <w:rFonts w:ascii="Arial"/>
          <w:color w:val="BF5A14"/>
        </w:rPr>
        <w:t>Biography</w:t>
      </w:r>
    </w:p>
    <w:p w:rsidR="009936AA" w:rsidRPr="00390195" w:rsidRDefault="009936AA" w:rsidP="00390195">
      <w:pPr>
        <w:spacing w:line="276" w:lineRule="auto"/>
        <w:rPr>
          <w:rFonts w:ascii="Times New Roman" w:hAnsi="Times New Roman" w:cs="Times New Roman"/>
          <w:sz w:val="15"/>
        </w:rPr>
      </w:pPr>
      <w:r w:rsidRPr="00390195">
        <w:rPr>
          <w:rFonts w:ascii="Times New Roman" w:hAnsi="Times New Roman" w:cs="Times New Roman"/>
          <w:sz w:val="15"/>
        </w:rPr>
        <w:t>Yang Jiaying has her expertise in research design and statistical analysis of vaccines and drug clinical trials. She has conducted in-depth research in the past few years in the randomization of subjects and the calculation of the sample size of tirals when there were multiple co-primary endpoints, and has been funded by the Fundamental Research Funds for the Central Universities and the Postgraduate Research</w:t>
      </w:r>
      <w:r w:rsidRPr="00390195">
        <w:rPr>
          <w:rFonts w:ascii="Times New Roman" w:eastAsia="微软雅黑" w:hAnsi="Times New Roman" w:cs="Times New Roman"/>
          <w:sz w:val="15"/>
        </w:rPr>
        <w:t>＆</w:t>
      </w:r>
      <w:r w:rsidRPr="00390195">
        <w:rPr>
          <w:rFonts w:ascii="Times New Roman" w:hAnsi="Times New Roman" w:cs="Times New Roman"/>
          <w:sz w:val="15"/>
        </w:rPr>
        <w:t>Practice Innovation Program of Jiangsu Province.</w:t>
      </w:r>
    </w:p>
    <w:p w:rsidR="00AE3E37" w:rsidRDefault="00574B15" w:rsidP="00724C6E">
      <w:pPr>
        <w:tabs>
          <w:tab w:val="left" w:pos="6660"/>
        </w:tabs>
        <w:spacing w:before="62"/>
        <w:ind w:left="4217" w:right="1960"/>
        <w:rPr>
          <w:rFonts w:ascii="Arial"/>
          <w:sz w:val="14"/>
        </w:rPr>
      </w:pPr>
      <w:r>
        <w:rPr>
          <w:rFonts w:ascii="Arial" w:hAnsi="Arial" w:cs="Arial"/>
          <w:sz w:val="14"/>
        </w:rPr>
        <w:t>Yang Jiaying</w:t>
      </w:r>
      <w:r w:rsidR="00724C6E" w:rsidRPr="00724C6E">
        <w:rPr>
          <w:rStyle w:val="a8"/>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86</w:t>
      </w:r>
      <w:r w:rsidR="009936AA">
        <w:rPr>
          <w:rFonts w:ascii="Arial" w:hAnsi="Arial" w:cs="Arial"/>
          <w:sz w:val="14"/>
        </w:rPr>
        <w:t>/</w:t>
      </w:r>
      <w:r>
        <w:rPr>
          <w:rFonts w:ascii="Arial" w:hAnsi="Arial" w:cs="Arial"/>
          <w:sz w:val="14"/>
        </w:rPr>
        <w:t>15895956580</w:t>
      </w:r>
      <w:r w:rsidR="00724C6E">
        <w:rPr>
          <w:rFonts w:ascii="Arial"/>
          <w:sz w:val="14"/>
        </w:rPr>
        <w:br/>
      </w:r>
      <w:r w:rsidR="00724C6E" w:rsidRPr="00724C6E">
        <w:rPr>
          <w:rFonts w:ascii="Arial"/>
          <w:sz w:val="14"/>
        </w:rPr>
        <w:t>Category</w:t>
      </w:r>
      <w:r w:rsidR="00D97AFB">
        <w:rPr>
          <w:rFonts w:ascii="Arial"/>
          <w:sz w:val="14"/>
        </w:rPr>
        <w:t xml:space="preserve">: </w:t>
      </w:r>
      <w:r w:rsidR="00724C6E">
        <w:rPr>
          <w:rFonts w:ascii="Arial"/>
          <w:sz w:val="14"/>
        </w:rPr>
        <w:t>Oral presentation</w:t>
      </w:r>
      <w:r w:rsidR="00724C6E">
        <w:rPr>
          <w:rFonts w:ascii="Arial"/>
          <w:sz w:val="14"/>
        </w:rPr>
        <w:br/>
        <w:t xml:space="preserve">Email: </w:t>
      </w:r>
      <w:r w:rsidR="00D97AFB" w:rsidRPr="00D97AFB">
        <w:rPr>
          <w:rFonts w:ascii="Arial"/>
          <w:sz w:val="14"/>
        </w:rPr>
        <w:t>yang_jy@foxmail.com</w:t>
      </w:r>
    </w:p>
    <w:p w:rsidR="00AE3E37" w:rsidRPr="00BC210E" w:rsidRDefault="00292ED9" w:rsidP="00BC210E">
      <w:pPr>
        <w:pStyle w:val="a3"/>
        <w:spacing w:before="2"/>
        <w:rPr>
          <w:rFonts w:ascii="Arial"/>
          <w:sz w:val="19"/>
        </w:rPr>
        <w:sectPr w:rsidR="00AE3E37" w:rsidRPr="00BC210E">
          <w:type w:val="continuous"/>
          <w:pgSz w:w="11910" w:h="16840"/>
          <w:pgMar w:top="1740" w:right="600" w:bottom="840" w:left="620" w:header="720" w:footer="720" w:gutter="0"/>
          <w:cols w:space="720"/>
        </w:sect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1C3B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686F45">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13A" w:rsidRDefault="0076513A">
      <w:r>
        <w:separator/>
      </w:r>
    </w:p>
  </w:endnote>
  <w:endnote w:type="continuationSeparator" w:id="0">
    <w:p w:rsidR="0076513A" w:rsidRDefault="0076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13A" w:rsidRDefault="0076513A">
      <w:r>
        <w:separator/>
      </w:r>
    </w:p>
  </w:footnote>
  <w:footnote w:type="continuationSeparator" w:id="0">
    <w:p w:rsidR="0076513A" w:rsidRDefault="00765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48E"/>
    <w:rsid w:val="000E2911"/>
    <w:rsid w:val="001263DF"/>
    <w:rsid w:val="00292ED9"/>
    <w:rsid w:val="00390195"/>
    <w:rsid w:val="00404E5B"/>
    <w:rsid w:val="00414F7B"/>
    <w:rsid w:val="004355DC"/>
    <w:rsid w:val="004749B4"/>
    <w:rsid w:val="00494130"/>
    <w:rsid w:val="004D5E1F"/>
    <w:rsid w:val="004F3523"/>
    <w:rsid w:val="00574B15"/>
    <w:rsid w:val="0058269A"/>
    <w:rsid w:val="005973B9"/>
    <w:rsid w:val="005B3A56"/>
    <w:rsid w:val="006060CE"/>
    <w:rsid w:val="00622832"/>
    <w:rsid w:val="0063497F"/>
    <w:rsid w:val="00686F45"/>
    <w:rsid w:val="00724C6E"/>
    <w:rsid w:val="0076513A"/>
    <w:rsid w:val="00814DB9"/>
    <w:rsid w:val="00873DF0"/>
    <w:rsid w:val="008756E6"/>
    <w:rsid w:val="00885B4C"/>
    <w:rsid w:val="009936AA"/>
    <w:rsid w:val="009B2D44"/>
    <w:rsid w:val="00A07E82"/>
    <w:rsid w:val="00A9710C"/>
    <w:rsid w:val="00AE3E37"/>
    <w:rsid w:val="00B21A57"/>
    <w:rsid w:val="00B236C2"/>
    <w:rsid w:val="00BC210E"/>
    <w:rsid w:val="00C33602"/>
    <w:rsid w:val="00CD6F55"/>
    <w:rsid w:val="00D307F1"/>
    <w:rsid w:val="00D97AFB"/>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2A25C9-8B4B-4944-8950-6639B1C0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885B4C"/>
  </w:style>
  <w:style w:type="paragraph" w:customStyle="1" w:styleId="EndNoteBibliography">
    <w:name w:val="EndNote Bibliography"/>
    <w:basedOn w:val="a"/>
    <w:link w:val="EndNoteBibliographyChar"/>
    <w:rsid w:val="00574B15"/>
    <w:pPr>
      <w:jc w:val="both"/>
    </w:pPr>
    <w:rPr>
      <w:rFonts w:ascii="Calibri" w:eastAsiaTheme="minorEastAsia" w:hAnsi="Calibri" w:cs="Calibri"/>
      <w:noProof/>
      <w:kern w:val="2"/>
      <w:sz w:val="20"/>
      <w:lang w:eastAsia="zh-CN"/>
    </w:rPr>
  </w:style>
  <w:style w:type="character" w:customStyle="1" w:styleId="EndNoteBibliographyChar">
    <w:name w:val="EndNote Bibliography Char"/>
    <w:basedOn w:val="a0"/>
    <w:link w:val="EndNoteBibliography"/>
    <w:rsid w:val="00574B15"/>
    <w:rPr>
      <w:rFonts w:ascii="Calibri" w:hAnsi="Calibri" w:cs="Calibri"/>
      <w:noProof/>
      <w:kern w:val="2"/>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Jiaying Yang</cp:lastModifiedBy>
  <cp:revision>13</cp:revision>
  <dcterms:created xsi:type="dcterms:W3CDTF">2016-12-15T06:48:00Z</dcterms:created>
  <dcterms:modified xsi:type="dcterms:W3CDTF">2018-03-27T06:19:00Z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