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273C63" w:rsidP="00BC04C8">
      <w:pPr>
        <w:pStyle w:val="Heading1"/>
        <w:spacing w:before="170"/>
        <w:ind w:left="0"/>
        <w:jc w:val="lowKashida"/>
      </w:pPr>
      <w:r>
        <w:rPr>
          <w:color w:val="337AB7"/>
        </w:rPr>
        <w:t xml:space="preserve">Title: </w:t>
      </w:r>
      <w:r w:rsidR="00BC04C8">
        <w:rPr>
          <w:color w:val="337AB7"/>
        </w:rPr>
        <w:t xml:space="preserve">Tea tree oil as an </w:t>
      </w:r>
      <w:r w:rsidR="00BC04C8" w:rsidRPr="00BC04C8">
        <w:rPr>
          <w:color w:val="337AB7"/>
        </w:rPr>
        <w:t>immunotherapy</w:t>
      </w:r>
      <w:r w:rsidR="00BC04C8">
        <w:rPr>
          <w:rStyle w:val="st"/>
        </w:rPr>
        <w:t xml:space="preserve"> </w:t>
      </w:r>
      <w:r w:rsidR="00BC04C8" w:rsidRPr="00BC04C8">
        <w:rPr>
          <w:color w:val="337AB7"/>
        </w:rPr>
        <w:t xml:space="preserve">and </w:t>
      </w:r>
      <w:r w:rsidR="007F7580">
        <w:rPr>
          <w:color w:val="337AB7"/>
        </w:rPr>
        <w:t>apoptosis</w:t>
      </w:r>
      <w:r w:rsidR="00BC04C8">
        <w:rPr>
          <w:color w:val="337AB7"/>
        </w:rPr>
        <w:t xml:space="preserve"> inducer</w:t>
      </w:r>
      <w:r w:rsidR="007F7580">
        <w:rPr>
          <w:color w:val="337AB7"/>
        </w:rPr>
        <w:t xml:space="preserve"> </w:t>
      </w:r>
      <w:r w:rsidR="00BC04C8">
        <w:rPr>
          <w:color w:val="337AB7"/>
        </w:rPr>
        <w:t>in</w:t>
      </w:r>
      <w:r w:rsidR="00F70303">
        <w:rPr>
          <w:color w:val="337AB7"/>
        </w:rPr>
        <w:t xml:space="preserve"> human malignant melan</w:t>
      </w:r>
      <w:r w:rsidR="00BC04C8">
        <w:rPr>
          <w:color w:val="337AB7"/>
        </w:rPr>
        <w:t>oma and squamous cell carcinoma (</w:t>
      </w:r>
      <w:r w:rsidR="009C10F0">
        <w:rPr>
          <w:color w:val="337AB7"/>
        </w:rPr>
        <w:t>as a new</w:t>
      </w:r>
      <w:r w:rsidR="007F7580">
        <w:rPr>
          <w:color w:val="337AB7"/>
        </w:rPr>
        <w:t xml:space="preserve"> effective strategy for </w:t>
      </w:r>
      <w:r w:rsidR="00BC04C8">
        <w:rPr>
          <w:color w:val="337AB7"/>
        </w:rPr>
        <w:t xml:space="preserve">chemoprevention against skin </w:t>
      </w:r>
      <w:r w:rsidR="007F7580">
        <w:rPr>
          <w:color w:val="337AB7"/>
        </w:rPr>
        <w:t>cancers</w:t>
      </w:r>
      <w:r w:rsidR="009C10F0">
        <w:rPr>
          <w:color w:val="337AB7"/>
        </w:rPr>
        <w:t>)</w:t>
      </w:r>
      <w:bookmarkStart w:id="0" w:name="_GoBack"/>
      <w:bookmarkEnd w:id="0"/>
    </w:p>
    <w:p w:rsidR="00AB3720" w:rsidRDefault="00AB3720" w:rsidP="00F70303">
      <w:pPr>
        <w:jc w:val="both"/>
        <w:rPr>
          <w:rFonts w:eastAsia="MS PGothic" w:hAnsi="Arial"/>
          <w:color w:val="000000"/>
        </w:rPr>
      </w:pPr>
    </w:p>
    <w:p w:rsidR="00273C63" w:rsidRDefault="00273C63" w:rsidP="00680378">
      <w:pPr>
        <w:jc w:val="both"/>
        <w:rPr>
          <w:rFonts w:eastAsia="MS PGothic" w:hAnsi="Arial"/>
          <w:color w:val="000000"/>
        </w:rPr>
      </w:pPr>
      <w:r w:rsidRPr="00327F9B">
        <w:rPr>
          <w:rFonts w:eastAsia="MS PGothic" w:hAnsi="Arial"/>
          <w:color w:val="000000"/>
        </w:rPr>
        <w:t xml:space="preserve">Name: </w:t>
      </w:r>
      <w:r w:rsidR="00F70303" w:rsidRPr="00EB73F8">
        <w:rPr>
          <w:rFonts w:eastAsia="MS PGothic" w:hAnsi="Arial"/>
          <w:b/>
          <w:bCs/>
          <w:color w:val="000000"/>
        </w:rPr>
        <w:t>Ashraf O. Abdellatif</w:t>
      </w:r>
      <w:r w:rsidR="00680378">
        <w:rPr>
          <w:rFonts w:eastAsia="MS PGothic" w:hAnsi="Arial"/>
          <w:color w:val="000000"/>
          <w:vertAlign w:val="superscript"/>
        </w:rPr>
        <w:t xml:space="preserve"> </w:t>
      </w:r>
      <w:r w:rsidR="00680378" w:rsidRPr="00680378">
        <w:rPr>
          <w:rFonts w:eastAsia="MS PGothic" w:hAnsi="Arial"/>
          <w:b/>
          <w:bCs/>
          <w:color w:val="000000"/>
          <w:vertAlign w:val="superscript"/>
        </w:rPr>
        <w:t>1</w:t>
      </w:r>
    </w:p>
    <w:p w:rsidR="00F70303" w:rsidRDefault="00680378" w:rsidP="00F70303">
      <w:pPr>
        <w:jc w:val="both"/>
        <w:rPr>
          <w:rFonts w:eastAsia="MS PGothic" w:hAnsi="Arial"/>
          <w:color w:val="000000"/>
        </w:rPr>
      </w:pPr>
      <w:r w:rsidRPr="00680378">
        <w:rPr>
          <w:rFonts w:eastAsia="MS PGothic" w:hAnsi="Arial"/>
          <w:b/>
          <w:bCs/>
          <w:color w:val="000000"/>
          <w:vertAlign w:val="superscript"/>
        </w:rPr>
        <w:t>1</w:t>
      </w:r>
      <w:r>
        <w:rPr>
          <w:rFonts w:eastAsia="MS PGothic" w:hAnsi="Arial"/>
          <w:color w:val="000000"/>
          <w:vertAlign w:val="superscript"/>
        </w:rPr>
        <w:t xml:space="preserve"> </w:t>
      </w:r>
      <w:r w:rsidR="00F70303">
        <w:rPr>
          <w:rFonts w:eastAsia="MS PGothic" w:hAnsi="Arial"/>
          <w:color w:val="000000"/>
        </w:rPr>
        <w:t xml:space="preserve">Department of Microbiology and Immunology, Faculty of Pharmacy, </w:t>
      </w:r>
      <w:proofErr w:type="spellStart"/>
      <w:r w:rsidR="00F70303">
        <w:rPr>
          <w:rFonts w:eastAsia="MS PGothic" w:hAnsi="Arial"/>
          <w:color w:val="000000"/>
        </w:rPr>
        <w:t>Karary</w:t>
      </w:r>
      <w:proofErr w:type="spellEnd"/>
      <w:r w:rsidR="00F70303">
        <w:rPr>
          <w:rFonts w:eastAsia="MS PGothic" w:hAnsi="Arial"/>
          <w:color w:val="000000"/>
        </w:rPr>
        <w:t xml:space="preserve"> University, Khartoum, Sudan.</w:t>
      </w:r>
    </w:p>
    <w:p w:rsidR="00F70303" w:rsidRDefault="00F70303" w:rsidP="00273C63">
      <w:pPr>
        <w:jc w:val="both"/>
        <w:rPr>
          <w:rFonts w:eastAsia="MS PGothic" w:hAnsi="Arial"/>
          <w:color w:val="000000"/>
        </w:rPr>
      </w:pPr>
    </w:p>
    <w:p w:rsidR="00454344" w:rsidRDefault="00454344" w:rsidP="00454344">
      <w:pPr>
        <w:pStyle w:val="Heading3"/>
        <w:spacing w:before="147"/>
        <w:jc w:val="both"/>
        <w:rPr>
          <w:color w:val="BF5A14"/>
        </w:rPr>
      </w:pPr>
      <w:r>
        <w:rPr>
          <w:color w:val="BF5A14"/>
        </w:rPr>
        <w:t>Abstract</w:t>
      </w:r>
    </w:p>
    <w:p w:rsidR="00454344" w:rsidRDefault="00454344" w:rsidP="00454344">
      <w:pPr>
        <w:pStyle w:val="Heading3"/>
        <w:spacing w:before="147"/>
        <w:jc w:val="both"/>
      </w:pPr>
      <w:r>
        <w:rPr>
          <w:color w:val="BF5A14"/>
        </w:rPr>
        <w:t xml:space="preserve"> </w:t>
      </w:r>
    </w:p>
    <w:p w:rsidR="00EB73F8" w:rsidRDefault="00454344" w:rsidP="00AB3720">
      <w:pPr>
        <w:spacing w:line="360" w:lineRule="auto"/>
        <w:jc w:val="lowKashida"/>
        <w:rPr>
          <w:rFonts w:ascii="Arial"/>
          <w:sz w:val="20"/>
        </w:rPr>
      </w:pPr>
      <w:r w:rsidRPr="00454344">
        <w:rPr>
          <w:rFonts w:ascii="Times New Roman" w:hAnsi="Times New Roman" w:cs="Times New Roman"/>
          <w:color w:val="000000"/>
        </w:rPr>
        <w:t xml:space="preserve">Tea tree oil (TTO) is an essential oil obtained by steam distillation from the leaves of </w:t>
      </w:r>
      <w:r w:rsidRPr="00454344">
        <w:rPr>
          <w:rFonts w:ascii="Times New Roman" w:hAnsi="Times New Roman" w:cs="Times New Roman"/>
          <w:i/>
          <w:iCs/>
          <w:color w:val="000000"/>
        </w:rPr>
        <w:t>Melaleuca alternifolia (Myrtaceae)</w:t>
      </w:r>
      <w:r w:rsidRPr="00454344">
        <w:rPr>
          <w:rFonts w:ascii="Times New Roman" w:hAnsi="Times New Roman" w:cs="Times New Roman"/>
          <w:color w:val="000000"/>
        </w:rPr>
        <w:t>. This oil has traditionally been used for the treatment of various skin infections. The present study aimed to investigate the cytotoxic effects of TTO against two representative types of human skin cancer, namely malignant melanoma (A-375) and squamous cell carcinoma (HEp-2).To outline the basic molecular mechanism involved in apoptosis induction in A-375 and HEp-2 cell lines, , Annexin V/PI staining for apoptosis detection, cell cycle analysis were monitored using flow cytometry and mRNA expression levels of the apoptosis-regulatory genes</w:t>
      </w:r>
      <w:r w:rsidRPr="00454344">
        <w:rPr>
          <w:rFonts w:ascii="Times New Roman" w:hAnsi="Times New Roman" w:cs="Times New Roman"/>
          <w:i/>
          <w:iCs/>
          <w:color w:val="000000"/>
        </w:rPr>
        <w:t xml:space="preserve"> P53</w:t>
      </w:r>
      <w:r w:rsidRPr="00454344">
        <w:rPr>
          <w:rFonts w:ascii="Times New Roman" w:hAnsi="Times New Roman" w:cs="Times New Roman"/>
          <w:color w:val="000000"/>
        </w:rPr>
        <w:t>, BAX, and BCL-2 were determined by real-time PCR and western blot after treatment with TTO. Results showed that TTO exhibited a strong cytotoxicity towards A-375 and HEp-2 cell lines, with IC</w:t>
      </w:r>
      <w:r w:rsidRPr="00454344">
        <w:rPr>
          <w:rFonts w:ascii="Times New Roman" w:hAnsi="Times New Roman" w:cs="Times New Roman"/>
          <w:color w:val="000000"/>
          <w:vertAlign w:val="subscript"/>
        </w:rPr>
        <w:t>50</w:t>
      </w:r>
      <w:r w:rsidRPr="00454344">
        <w:rPr>
          <w:rFonts w:ascii="Times New Roman" w:hAnsi="Times New Roman" w:cs="Times New Roman"/>
          <w:color w:val="000000"/>
        </w:rPr>
        <w:t xml:space="preserve"> values of 0.038% (v/v) and 0.024% (v/v) respectively. This cytotoxicity resulted from TTO induced apoptosis in both A-375 and HEp-2 cell lines as evidenced by morphological features of apoptosis and Annexin V/PI staining results in addition to the activation of caspase- 3/7 and -9, upregulation of pro-apoptotic genes (</w:t>
      </w:r>
      <w:r w:rsidRPr="00454344">
        <w:rPr>
          <w:rFonts w:ascii="Times New Roman" w:hAnsi="Times New Roman" w:cs="Times New Roman"/>
          <w:i/>
          <w:iCs/>
          <w:color w:val="000000"/>
        </w:rPr>
        <w:t xml:space="preserve">P53 </w:t>
      </w:r>
      <w:r w:rsidRPr="00454344">
        <w:rPr>
          <w:rFonts w:ascii="Times New Roman" w:hAnsi="Times New Roman" w:cs="Times New Roman"/>
          <w:color w:val="000000"/>
        </w:rPr>
        <w:t>and BAX) and downregulation of the anti-apoptotic gene</w:t>
      </w:r>
      <w:r w:rsidRPr="00454344">
        <w:rPr>
          <w:rFonts w:ascii="Times New Roman" w:hAnsi="Times New Roman" w:cs="Times New Roman"/>
          <w:i/>
          <w:iCs/>
          <w:color w:val="000000"/>
        </w:rPr>
        <w:t xml:space="preserve"> BCL-2</w:t>
      </w:r>
      <w:r w:rsidRPr="00454344">
        <w:rPr>
          <w:rFonts w:ascii="Times New Roman" w:hAnsi="Times New Roman" w:cs="Times New Roman"/>
          <w:color w:val="000000"/>
        </w:rPr>
        <w:t xml:space="preserve">. Additionally, cell cycle analysis showed that TTO caused cell cycle arrest mainly at G2/M phase. Taken together, the results of this study reveal that TTO is an effective apoptosis inducer in A-375 and HEp-2 cancer cell lines, indicating that it could be a promising chemopreventive candidate to be used in topical formulations against melanoma and squamous cell cancers; however, further </w:t>
      </w:r>
      <w:r w:rsidRPr="00454344">
        <w:rPr>
          <w:rFonts w:ascii="Times New Roman" w:hAnsi="Times New Roman" w:cs="Times New Roman"/>
          <w:i/>
          <w:iCs/>
          <w:color w:val="000000"/>
        </w:rPr>
        <w:t>in vivo</w:t>
      </w:r>
      <w:r w:rsidRPr="00454344">
        <w:rPr>
          <w:rFonts w:ascii="Times New Roman" w:hAnsi="Times New Roman" w:cs="Times New Roman"/>
          <w:color w:val="000000"/>
        </w:rPr>
        <w:t xml:space="preserve"> studies may be warranted.</w:t>
      </w:r>
    </w:p>
    <w:p w:rsidR="00AE3E37" w:rsidRDefault="00022BE5" w:rsidP="00AB3720">
      <w:pPr>
        <w:spacing w:line="360" w:lineRule="auto"/>
        <w:jc w:val="lowKashida"/>
        <w:rPr>
          <w:rFonts w:ascii="Arial"/>
          <w:sz w:val="20"/>
        </w:rPr>
      </w:pPr>
      <w:r>
        <w:rPr>
          <w:rFonts w:ascii="Arial"/>
          <w:sz w:val="2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8700"/>
      </w:tblGrid>
      <w:tr w:rsidR="00EB73F8" w:rsidTr="00EB73F8">
        <w:tc>
          <w:tcPr>
            <w:tcW w:w="1980" w:type="dxa"/>
          </w:tcPr>
          <w:p w:rsidR="00EB73F8" w:rsidRDefault="00EB73F8" w:rsidP="00AB3720">
            <w:pPr>
              <w:spacing w:line="360" w:lineRule="auto"/>
              <w:jc w:val="lowKashida"/>
              <w:rPr>
                <w:rFonts w:ascii="Times New Roman" w:hAnsi="Times New Roman" w:cs="Times New Roman"/>
                <w:color w:val="000000"/>
              </w:rPr>
            </w:pPr>
            <w:r>
              <w:rPr>
                <w:rFonts w:ascii="Times New Roman" w:hAnsi="Times New Roman" w:cs="Times New Roman"/>
                <w:noProof/>
                <w:color w:val="0000FF"/>
                <w:sz w:val="18"/>
                <w:szCs w:val="18"/>
              </w:rPr>
              <w:drawing>
                <wp:inline distT="0" distB="0" distL="0" distR="0" wp14:anchorId="1368EDDD" wp14:editId="3B7A05EC">
                  <wp:extent cx="1126752" cy="14534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3260" cy="1500582"/>
                          </a:xfrm>
                          <a:prstGeom prst="rect">
                            <a:avLst/>
                          </a:prstGeom>
                          <a:noFill/>
                          <a:ln>
                            <a:noFill/>
                          </a:ln>
                        </pic:spPr>
                      </pic:pic>
                    </a:graphicData>
                  </a:graphic>
                </wp:inline>
              </w:drawing>
            </w:r>
          </w:p>
        </w:tc>
        <w:tc>
          <w:tcPr>
            <w:tcW w:w="8700" w:type="dxa"/>
          </w:tcPr>
          <w:p w:rsidR="00EB73F8" w:rsidRDefault="00EB73F8" w:rsidP="00EB73F8">
            <w:pPr>
              <w:spacing w:before="92"/>
              <w:ind w:right="4234"/>
              <w:rPr>
                <w:rFonts w:ascii="Arial"/>
                <w:b/>
                <w:bCs/>
                <w:color w:val="BF5A14"/>
              </w:rPr>
            </w:pPr>
          </w:p>
          <w:p w:rsidR="00EB73F8" w:rsidRPr="00EB73F8" w:rsidRDefault="00EB73F8" w:rsidP="00EB73F8">
            <w:pPr>
              <w:spacing w:before="92"/>
              <w:ind w:right="4234"/>
              <w:rPr>
                <w:rFonts w:ascii="Arial"/>
                <w:b/>
                <w:bCs/>
              </w:rPr>
            </w:pPr>
            <w:r w:rsidRPr="00EB73F8">
              <w:rPr>
                <w:rFonts w:ascii="Arial"/>
                <w:b/>
                <w:bCs/>
                <w:color w:val="BF5A14"/>
              </w:rPr>
              <w:t>Biography</w:t>
            </w:r>
            <w:r w:rsidRPr="00EB73F8">
              <w:rPr>
                <w:b/>
                <w:bCs/>
                <w:noProof/>
                <w:lang w:val="en-IN" w:eastAsia="en-IN"/>
              </w:rPr>
              <w:t xml:space="preserve"> </w:t>
            </w:r>
          </w:p>
          <w:p w:rsidR="00EB73F8" w:rsidRPr="00EB73F8" w:rsidRDefault="00EB73F8" w:rsidP="00EB73F8">
            <w:pPr>
              <w:spacing w:before="41" w:line="360" w:lineRule="auto"/>
              <w:ind w:right="231"/>
              <w:jc w:val="both"/>
              <w:rPr>
                <w:rFonts w:ascii="Arial"/>
                <w:b/>
                <w:bCs/>
                <w:sz w:val="2"/>
                <w:szCs w:val="2"/>
              </w:rPr>
            </w:pPr>
          </w:p>
          <w:p w:rsidR="00EB73F8" w:rsidRPr="00EB73F8" w:rsidRDefault="00EB73F8" w:rsidP="00EB73F8">
            <w:pPr>
              <w:spacing w:before="41" w:line="360" w:lineRule="auto"/>
              <w:ind w:right="231"/>
              <w:jc w:val="both"/>
              <w:rPr>
                <w:rFonts w:ascii="Arial"/>
                <w:sz w:val="18"/>
                <w:szCs w:val="18"/>
              </w:rPr>
            </w:pPr>
            <w:r w:rsidRPr="00EB73F8">
              <w:rPr>
                <w:rFonts w:ascii="Arial"/>
                <w:b/>
                <w:bCs/>
                <w:sz w:val="18"/>
                <w:szCs w:val="18"/>
              </w:rPr>
              <w:t>Dr. Ashraf Osman Abdellatif Mohamed</w:t>
            </w:r>
            <w:r w:rsidRPr="00EB73F8">
              <w:rPr>
                <w:rFonts w:ascii="Arial"/>
                <w:sz w:val="18"/>
                <w:szCs w:val="18"/>
              </w:rPr>
              <w:t xml:space="preserve"> has his expertise in field of Microbiology and Immunology and he has published 8 </w:t>
            </w:r>
            <w:r>
              <w:rPr>
                <w:rFonts w:ascii="Arial"/>
                <w:sz w:val="18"/>
                <w:szCs w:val="18"/>
              </w:rPr>
              <w:t xml:space="preserve">papers in reputed </w:t>
            </w:r>
            <w:r w:rsidRPr="00EB73F8">
              <w:rPr>
                <w:rFonts w:ascii="Arial"/>
                <w:sz w:val="18"/>
                <w:szCs w:val="18"/>
              </w:rPr>
              <w:t xml:space="preserve">journals. Currently he works on developing new strategies in fighting infectious diseases and cancer by using natural compounds.  </w:t>
            </w:r>
          </w:p>
          <w:p w:rsidR="00EB73F8" w:rsidRDefault="00EB73F8" w:rsidP="00AB3720">
            <w:pPr>
              <w:spacing w:line="360" w:lineRule="auto"/>
              <w:jc w:val="lowKashida"/>
              <w:rPr>
                <w:rFonts w:ascii="Times New Roman" w:hAnsi="Times New Roman" w:cs="Times New Roman"/>
                <w:color w:val="000000"/>
              </w:rPr>
            </w:pPr>
          </w:p>
        </w:tc>
      </w:tr>
    </w:tbl>
    <w:p w:rsidR="00EB73F8" w:rsidRPr="00AB3720" w:rsidRDefault="00EB73F8" w:rsidP="00AB3720">
      <w:pPr>
        <w:spacing w:line="360" w:lineRule="auto"/>
        <w:jc w:val="lowKashida"/>
        <w:rPr>
          <w:rFonts w:ascii="Times New Roman" w:hAnsi="Times New Roman" w:cs="Times New Roman"/>
          <w:color w:val="000000"/>
        </w:rPr>
      </w:pPr>
    </w:p>
    <w:p w:rsidR="00EB73F8" w:rsidRPr="00662445" w:rsidRDefault="00EB73F8" w:rsidP="00EB73F8">
      <w:pPr>
        <w:spacing w:line="276" w:lineRule="auto"/>
        <w:rPr>
          <w:b/>
          <w:color w:val="FF0000"/>
          <w:sz w:val="20"/>
          <w:szCs w:val="20"/>
        </w:rPr>
      </w:pPr>
      <w:r w:rsidRPr="009A3855">
        <w:rPr>
          <w:b/>
          <w:u w:val="single"/>
          <w:lang w:val="en-NZ"/>
        </w:rPr>
        <w:t>Presenting author details</w:t>
      </w:r>
      <w:r w:rsidRPr="009A3855">
        <w:rPr>
          <w:b/>
          <w:u w:val="single"/>
          <w:lang w:val="en-NZ"/>
        </w:rPr>
        <w:br/>
      </w:r>
      <w:r w:rsidRPr="00662445">
        <w:rPr>
          <w:b/>
          <w:color w:val="FF0000"/>
          <w:sz w:val="20"/>
          <w:szCs w:val="20"/>
        </w:rPr>
        <w:t xml:space="preserve">Full name (As per the passport): </w:t>
      </w:r>
      <w:r w:rsidRPr="00662445">
        <w:rPr>
          <w:rFonts w:ascii="Arial"/>
          <w:b/>
          <w:bCs/>
          <w:sz w:val="20"/>
          <w:szCs w:val="20"/>
        </w:rPr>
        <w:t>Ashraf Osman Abdellatif Mohamed</w:t>
      </w:r>
    </w:p>
    <w:p w:rsidR="00EB73F8" w:rsidRPr="00662445" w:rsidRDefault="00EB73F8" w:rsidP="00EB73F8">
      <w:pPr>
        <w:spacing w:line="276" w:lineRule="auto"/>
        <w:rPr>
          <w:b/>
          <w:color w:val="FF0000"/>
          <w:sz w:val="20"/>
          <w:szCs w:val="20"/>
        </w:rPr>
      </w:pPr>
      <w:r w:rsidRPr="00662445">
        <w:rPr>
          <w:b/>
          <w:color w:val="FF0000"/>
          <w:sz w:val="20"/>
          <w:szCs w:val="20"/>
        </w:rPr>
        <w:t xml:space="preserve">University/Industry/Organization name: </w:t>
      </w:r>
      <w:r w:rsidRPr="00662445">
        <w:rPr>
          <w:b/>
          <w:color w:val="000000" w:themeColor="text1"/>
          <w:sz w:val="20"/>
          <w:szCs w:val="20"/>
        </w:rPr>
        <w:t xml:space="preserve">Faculty of Pharmacy, </w:t>
      </w:r>
      <w:proofErr w:type="spellStart"/>
      <w:r w:rsidRPr="00662445">
        <w:rPr>
          <w:b/>
          <w:color w:val="000000" w:themeColor="text1"/>
          <w:sz w:val="20"/>
          <w:szCs w:val="20"/>
        </w:rPr>
        <w:t>Karary</w:t>
      </w:r>
      <w:proofErr w:type="spellEnd"/>
      <w:r w:rsidRPr="00662445">
        <w:rPr>
          <w:b/>
          <w:color w:val="000000" w:themeColor="text1"/>
          <w:sz w:val="20"/>
          <w:szCs w:val="20"/>
        </w:rPr>
        <w:t xml:space="preserve"> University.</w:t>
      </w:r>
    </w:p>
    <w:p w:rsidR="00EB73F8" w:rsidRPr="00662445" w:rsidRDefault="00EB73F8" w:rsidP="00EB73F8">
      <w:pPr>
        <w:spacing w:line="276" w:lineRule="auto"/>
        <w:rPr>
          <w:b/>
          <w:color w:val="FF0000"/>
          <w:sz w:val="20"/>
          <w:szCs w:val="20"/>
        </w:rPr>
      </w:pPr>
      <w:r w:rsidRPr="00662445">
        <w:rPr>
          <w:b/>
          <w:color w:val="FF0000"/>
          <w:sz w:val="20"/>
          <w:szCs w:val="20"/>
        </w:rPr>
        <w:t xml:space="preserve">Designation (Director/Prof/Assistant or Associate prof/Researcher/Student): </w:t>
      </w:r>
      <w:r w:rsidRPr="00662445">
        <w:rPr>
          <w:b/>
          <w:color w:val="000000" w:themeColor="text1"/>
          <w:sz w:val="20"/>
          <w:szCs w:val="20"/>
        </w:rPr>
        <w:t>Assistant Professor</w:t>
      </w:r>
    </w:p>
    <w:p w:rsidR="00EB73F8" w:rsidRPr="00662445" w:rsidRDefault="00EB73F8" w:rsidP="00EB73F8">
      <w:pPr>
        <w:spacing w:line="276" w:lineRule="auto"/>
        <w:rPr>
          <w:b/>
          <w:color w:val="FF0000"/>
          <w:sz w:val="20"/>
          <w:szCs w:val="20"/>
        </w:rPr>
      </w:pPr>
      <w:r w:rsidRPr="00662445">
        <w:rPr>
          <w:b/>
          <w:color w:val="FF0000"/>
          <w:sz w:val="20"/>
          <w:szCs w:val="20"/>
        </w:rPr>
        <w:t xml:space="preserve">Country: </w:t>
      </w:r>
      <w:r w:rsidRPr="00662445">
        <w:rPr>
          <w:b/>
          <w:color w:val="000000" w:themeColor="text1"/>
          <w:sz w:val="20"/>
          <w:szCs w:val="20"/>
        </w:rPr>
        <w:t>Sudan.</w:t>
      </w:r>
    </w:p>
    <w:p w:rsidR="00EB73F8" w:rsidRPr="00662445" w:rsidRDefault="00EB73F8" w:rsidP="00EB73F8">
      <w:pPr>
        <w:spacing w:line="276" w:lineRule="auto"/>
        <w:rPr>
          <w:b/>
          <w:color w:val="FF0000"/>
          <w:sz w:val="20"/>
          <w:szCs w:val="20"/>
        </w:rPr>
      </w:pPr>
      <w:r w:rsidRPr="00662445">
        <w:rPr>
          <w:b/>
          <w:color w:val="FF0000"/>
          <w:sz w:val="20"/>
          <w:szCs w:val="20"/>
        </w:rPr>
        <w:t xml:space="preserve">Mobile number: </w:t>
      </w:r>
      <w:r w:rsidRPr="00662445">
        <w:rPr>
          <w:b/>
          <w:color w:val="000000" w:themeColor="text1"/>
          <w:sz w:val="20"/>
          <w:szCs w:val="20"/>
        </w:rPr>
        <w:t>00249123981100</w:t>
      </w:r>
    </w:p>
    <w:p w:rsidR="00EB73F8" w:rsidRPr="00662445" w:rsidRDefault="00EB73F8" w:rsidP="00EB73F8">
      <w:pPr>
        <w:spacing w:line="276" w:lineRule="auto"/>
        <w:rPr>
          <w:b/>
          <w:color w:val="FF0000"/>
          <w:sz w:val="20"/>
          <w:szCs w:val="20"/>
        </w:rPr>
      </w:pPr>
      <w:r w:rsidRPr="00662445">
        <w:rPr>
          <w:b/>
          <w:color w:val="FF0000"/>
          <w:sz w:val="20"/>
          <w:szCs w:val="20"/>
        </w:rPr>
        <w:t xml:space="preserve">Email: </w:t>
      </w:r>
      <w:r w:rsidRPr="00662445">
        <w:rPr>
          <w:b/>
          <w:color w:val="000000" w:themeColor="text1"/>
          <w:sz w:val="20"/>
          <w:szCs w:val="20"/>
        </w:rPr>
        <w:t>ashrafpharm11@gmail.com</w:t>
      </w:r>
    </w:p>
    <w:p w:rsidR="00EB73F8" w:rsidRPr="00662445" w:rsidRDefault="00EB73F8" w:rsidP="00EB73F8">
      <w:pPr>
        <w:spacing w:line="276" w:lineRule="auto"/>
        <w:rPr>
          <w:b/>
          <w:color w:val="FF0000"/>
          <w:sz w:val="20"/>
          <w:szCs w:val="20"/>
          <w:lang w:val="en-NZ"/>
        </w:rPr>
      </w:pPr>
      <w:r w:rsidRPr="00662445">
        <w:rPr>
          <w:b/>
          <w:color w:val="FF0000"/>
          <w:sz w:val="20"/>
          <w:szCs w:val="20"/>
          <w:lang w:val="en-NZ"/>
        </w:rPr>
        <w:t xml:space="preserve">Category (Oral presentation/ Poster presentation/Young researcher forum/E-poster): </w:t>
      </w:r>
      <w:r w:rsidRPr="00662445">
        <w:rPr>
          <w:b/>
          <w:color w:val="000000" w:themeColor="text1"/>
          <w:sz w:val="20"/>
          <w:szCs w:val="20"/>
          <w:lang w:val="en-NZ"/>
        </w:rPr>
        <w:t>Oral presentation</w:t>
      </w:r>
      <w:r w:rsidRPr="00662445">
        <w:rPr>
          <w:b/>
          <w:color w:val="FF0000"/>
          <w:sz w:val="20"/>
          <w:szCs w:val="20"/>
          <w:lang w:val="en-NZ"/>
        </w:rPr>
        <w:t>.</w:t>
      </w:r>
    </w:p>
    <w:p w:rsidR="00AE3E37" w:rsidRPr="00EB73F8" w:rsidRDefault="00EB73F8" w:rsidP="00EB73F8">
      <w:pPr>
        <w:spacing w:line="276" w:lineRule="auto"/>
        <w:rPr>
          <w:b/>
          <w:color w:val="FF0000"/>
          <w:sz w:val="20"/>
          <w:szCs w:val="20"/>
        </w:rPr>
        <w:sectPr w:rsidR="00AE3E37" w:rsidRPr="00EB73F8" w:rsidSect="00EB73F8">
          <w:footerReference w:type="default" r:id="rId8"/>
          <w:type w:val="continuous"/>
          <w:pgSz w:w="11910" w:h="16840"/>
          <w:pgMar w:top="709" w:right="600" w:bottom="426" w:left="620" w:header="720" w:footer="720" w:gutter="0"/>
          <w:cols w:space="720"/>
        </w:sectPr>
      </w:pPr>
      <w:r w:rsidRPr="00662445">
        <w:rPr>
          <w:b/>
          <w:color w:val="FF0000"/>
          <w:sz w:val="20"/>
          <w:szCs w:val="20"/>
        </w:rPr>
        <w:t xml:space="preserve">Research interest: </w:t>
      </w:r>
      <w:r w:rsidRPr="00662445">
        <w:rPr>
          <w:b/>
          <w:color w:val="000000" w:themeColor="text1"/>
          <w:sz w:val="20"/>
          <w:szCs w:val="20"/>
        </w:rPr>
        <w:t>Nanotechnology toxicity</w:t>
      </w:r>
      <w:r w:rsidR="00292ED9" w:rsidRPr="00642283">
        <w:rPr>
          <w:rFonts w:ascii="Arial"/>
          <w:noProof/>
          <w:sz w:val="14"/>
        </w:rPr>
        <mc:AlternateContent>
          <mc:Choice Requires="wps">
            <w:drawing>
              <wp:anchor distT="0" distB="0" distL="0" distR="0" simplePos="0" relativeHeight="1072" behindDoc="0" locked="0" layoutInCell="1" allowOverlap="1" wp14:anchorId="1DA5BF06" wp14:editId="7A9E0A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D7B9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FB7F9B">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39A" w:rsidRDefault="00E8439A">
      <w:r>
        <w:separator/>
      </w:r>
    </w:p>
  </w:endnote>
  <w:endnote w:type="continuationSeparator" w:id="0">
    <w:p w:rsidR="00E8439A" w:rsidRDefault="00E84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285C4B" w:rsidRDefault="00285C4B" w:rsidP="00285C4B">
    <w:pPr>
      <w:pStyle w:val="Footer"/>
      <w:jc w:val="right"/>
    </w:pPr>
    <w:r w:rsidRPr="00285C4B">
      <w:rPr>
        <w:rFonts w:ascii="Times New Roman" w:hAnsi="Times New Roman" w:cs="Times New Roman"/>
        <w:sz w:val="28"/>
        <w:szCs w:val="28"/>
        <w:lang w:val="en-IN"/>
      </w:rPr>
      <w:t>Cancer Research and Therapy</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39A" w:rsidRDefault="00E8439A">
      <w:r>
        <w:separator/>
      </w:r>
    </w:p>
  </w:footnote>
  <w:footnote w:type="continuationSeparator" w:id="0">
    <w:p w:rsidR="00E8439A" w:rsidRDefault="00E843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2BE5"/>
    <w:rsid w:val="00040EA7"/>
    <w:rsid w:val="0004444B"/>
    <w:rsid w:val="000E2911"/>
    <w:rsid w:val="000F7705"/>
    <w:rsid w:val="001263DF"/>
    <w:rsid w:val="001E55DB"/>
    <w:rsid w:val="001F4F5E"/>
    <w:rsid w:val="00273C63"/>
    <w:rsid w:val="00285C4B"/>
    <w:rsid w:val="00292ED9"/>
    <w:rsid w:val="002B0A93"/>
    <w:rsid w:val="00404456"/>
    <w:rsid w:val="00404E5B"/>
    <w:rsid w:val="00414F7B"/>
    <w:rsid w:val="0042163B"/>
    <w:rsid w:val="004355DC"/>
    <w:rsid w:val="00454344"/>
    <w:rsid w:val="004749B4"/>
    <w:rsid w:val="00494130"/>
    <w:rsid w:val="004F3523"/>
    <w:rsid w:val="00592AD2"/>
    <w:rsid w:val="005973B9"/>
    <w:rsid w:val="005B3A56"/>
    <w:rsid w:val="006060CE"/>
    <w:rsid w:val="006272D5"/>
    <w:rsid w:val="0063497F"/>
    <w:rsid w:val="00642283"/>
    <w:rsid w:val="0067120B"/>
    <w:rsid w:val="00680378"/>
    <w:rsid w:val="00687D1A"/>
    <w:rsid w:val="006B44AF"/>
    <w:rsid w:val="006D3F2D"/>
    <w:rsid w:val="00715384"/>
    <w:rsid w:val="007F7580"/>
    <w:rsid w:val="00853E1F"/>
    <w:rsid w:val="00873DF0"/>
    <w:rsid w:val="008756E6"/>
    <w:rsid w:val="0098728D"/>
    <w:rsid w:val="009B2D44"/>
    <w:rsid w:val="009C10F0"/>
    <w:rsid w:val="00A07E82"/>
    <w:rsid w:val="00A916F9"/>
    <w:rsid w:val="00A9710C"/>
    <w:rsid w:val="00AB3720"/>
    <w:rsid w:val="00AE3E37"/>
    <w:rsid w:val="00B21A57"/>
    <w:rsid w:val="00B52666"/>
    <w:rsid w:val="00BC04C8"/>
    <w:rsid w:val="00C07ADE"/>
    <w:rsid w:val="00C33602"/>
    <w:rsid w:val="00C80461"/>
    <w:rsid w:val="00CD6F55"/>
    <w:rsid w:val="00DE3104"/>
    <w:rsid w:val="00E354CE"/>
    <w:rsid w:val="00E8439A"/>
    <w:rsid w:val="00EB73F8"/>
    <w:rsid w:val="00F70303"/>
    <w:rsid w:val="00F72EEA"/>
    <w:rsid w:val="00F84CAE"/>
    <w:rsid w:val="00F86E3E"/>
    <w:rsid w:val="00FB7F9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8E2A6"/>
  <w15:docId w15:val="{5D2E48BF-D3B9-4984-B104-47AD86F92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table" w:styleId="TableGrid">
    <w:name w:val="Table Grid"/>
    <w:basedOn w:val="TableNormal"/>
    <w:uiPriority w:val="59"/>
    <w:rsid w:val="00EB7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BC0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منه الله اشرف</cp:lastModifiedBy>
  <cp:revision>17</cp:revision>
  <dcterms:created xsi:type="dcterms:W3CDTF">2019-02-24T12:36:00Z</dcterms:created>
  <dcterms:modified xsi:type="dcterms:W3CDTF">2020-02-29T12:04:00Z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