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30A1B" w14:textId="7C6E741C" w:rsidR="00FB13FD" w:rsidRPr="00A47C01" w:rsidRDefault="00A47C01" w:rsidP="00B47A1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en-US"/>
        </w:rPr>
        <w:t>The s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en-US"/>
        </w:rPr>
        <w:t>afety profile of mandatory vaccines: a</w:t>
      </w:r>
      <w:r w:rsidR="00FB13FD" w:rsidRPr="00A47C01"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en-US"/>
        </w:rPr>
        <w:t xml:space="preserve"> pharmacovigilance study in Italy</w:t>
      </w:r>
    </w:p>
    <w:p w14:paraId="17C811B7" w14:textId="23DE8F93" w:rsidR="009C2679" w:rsidRPr="00A47C01" w:rsidRDefault="009C26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shd w:val="clear" w:color="auto" w:fill="FFFFFF"/>
          <w:lang w:val="en-US"/>
        </w:rPr>
      </w:pPr>
    </w:p>
    <w:p w14:paraId="6182738C" w14:textId="7A297863" w:rsidR="004873F2" w:rsidRPr="00DC3233" w:rsidRDefault="004873F2">
      <w:pPr>
        <w:spacing w:after="0" w:line="480" w:lineRule="auto"/>
        <w:jc w:val="both"/>
        <w:rPr>
          <w:rFonts w:ascii="Times New Roman" w:hAnsi="Times New Roman" w:cs="Times New Roman"/>
          <w:sz w:val="20"/>
          <w:shd w:val="clear" w:color="auto" w:fill="FFFFFF"/>
          <w:lang w:val="en-US"/>
        </w:rPr>
      </w:pPr>
    </w:p>
    <w:p w14:paraId="3FB48902" w14:textId="75917E21" w:rsidR="005D6D32" w:rsidRDefault="005D6D3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</w:p>
    <w:p w14:paraId="2BE41528" w14:textId="4FAC2DC3" w:rsidR="00FB13FD" w:rsidRDefault="00FB13F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Abstract </w:t>
      </w:r>
    </w:p>
    <w:p w14:paraId="1B647C51" w14:textId="77777777" w:rsidR="00CE77B2" w:rsidRDefault="00CE77B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</w:p>
    <w:p w14:paraId="3627BCBE" w14:textId="61A515E5" w:rsidR="00FB13FD" w:rsidRPr="002303A1" w:rsidRDefault="00FB13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03A1">
        <w:rPr>
          <w:rFonts w:ascii="Times New Roman" w:hAnsi="Times New Roman" w:cs="Times New Roman"/>
          <w:sz w:val="24"/>
          <w:szCs w:val="24"/>
          <w:lang w:val="en-US"/>
        </w:rPr>
        <w:t>Despite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>well-recognized role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vaccines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>, coverage is far from optimal especially in children</w:t>
      </w:r>
      <w:r w:rsidRPr="00230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, representing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a growing concern also in Italy. In order to reverse this emergency, the </w:t>
      </w:r>
      <w:r w:rsidRPr="00230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Italian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Ministry approved in July 2017 </w:t>
      </w:r>
      <w:r w:rsidR="009320D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Law 119/2017, which renders mandatory and free of charge ten vaccinations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patients aged 0-16. </w:t>
      </w:r>
      <w:r w:rsidR="00E72CE6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e aim to investigate the effects of the new Law 119/2017 on the reporting of </w:t>
      </w:r>
      <w:r w:rsidR="00CE77B2">
        <w:rPr>
          <w:rFonts w:ascii="Times New Roman" w:hAnsi="Times New Roman" w:cs="Times New Roman"/>
          <w:sz w:val="24"/>
          <w:szCs w:val="24"/>
          <w:lang w:val="en-US"/>
        </w:rPr>
        <w:t>adverse events following immunization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related to mandatory vaccines into the Italian Pharmacovigilance database</w:t>
      </w:r>
      <w:r w:rsidR="001F50BD">
        <w:rPr>
          <w:rFonts w:ascii="Times New Roman" w:hAnsi="Times New Roman" w:cs="Times New Roman"/>
          <w:sz w:val="24"/>
          <w:szCs w:val="24"/>
          <w:lang w:val="en-US"/>
        </w:rPr>
        <w:t xml:space="preserve"> (Rete </w:t>
      </w:r>
      <w:proofErr w:type="spellStart"/>
      <w:r w:rsidR="001F50BD">
        <w:rPr>
          <w:rFonts w:ascii="Times New Roman" w:hAnsi="Times New Roman" w:cs="Times New Roman"/>
          <w:sz w:val="24"/>
          <w:szCs w:val="24"/>
          <w:lang w:val="en-US"/>
        </w:rPr>
        <w:t>Nazionale</w:t>
      </w:r>
      <w:proofErr w:type="spellEnd"/>
      <w:r w:rsidR="001F50BD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1F50BD">
        <w:rPr>
          <w:rFonts w:ascii="Times New Roman" w:hAnsi="Times New Roman" w:cs="Times New Roman"/>
          <w:sz w:val="24"/>
          <w:szCs w:val="24"/>
          <w:lang w:val="en-US"/>
        </w:rPr>
        <w:t>Farmacovigilanza</w:t>
      </w:r>
      <w:proofErr w:type="spellEnd"/>
      <w:r w:rsidR="001F50BD">
        <w:rPr>
          <w:rFonts w:ascii="Times New Roman" w:hAnsi="Times New Roman" w:cs="Times New Roman"/>
          <w:sz w:val="24"/>
          <w:szCs w:val="24"/>
          <w:lang w:val="en-US"/>
        </w:rPr>
        <w:t xml:space="preserve"> - RNF)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. Therefore, we analyzed the spontaneous reports of suspected </w:t>
      </w:r>
      <w:r w:rsidR="00CE77B2">
        <w:rPr>
          <w:rFonts w:ascii="Times New Roman" w:hAnsi="Times New Roman" w:cs="Times New Roman"/>
          <w:sz w:val="24"/>
          <w:szCs w:val="24"/>
          <w:lang w:val="en-US"/>
        </w:rPr>
        <w:t>adverse events following immunization</w:t>
      </w:r>
      <w:r w:rsidR="00CE77B2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>recorded in Campania Region</w:t>
      </w:r>
      <w:r w:rsidR="00CE77B2">
        <w:rPr>
          <w:rFonts w:ascii="Times New Roman" w:hAnsi="Times New Roman" w:cs="Times New Roman"/>
          <w:sz w:val="24"/>
          <w:szCs w:val="24"/>
          <w:lang w:val="en-US"/>
        </w:rPr>
        <w:t xml:space="preserve"> (South of Italy)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from December 1</w:t>
      </w:r>
      <w:r w:rsidRPr="002303A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2016 to March 31</w:t>
      </w:r>
      <w:r w:rsidRPr="002303A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2018.</w:t>
      </w:r>
    </w:p>
    <w:p w14:paraId="11B43C36" w14:textId="0D517687" w:rsidR="00FB13FD" w:rsidRPr="002303A1" w:rsidRDefault="00CE77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D20EF">
        <w:rPr>
          <w:rFonts w:ascii="Times New Roman" w:hAnsi="Times New Roman" w:cs="Times New Roman"/>
          <w:sz w:val="24"/>
          <w:szCs w:val="24"/>
          <w:lang w:val="en-US"/>
        </w:rPr>
        <w:t>During the study period</w:t>
      </w:r>
      <w:r w:rsidR="00FB13FD" w:rsidRPr="008D20EF">
        <w:rPr>
          <w:rFonts w:ascii="Times New Roman" w:hAnsi="Times New Roman" w:cs="Times New Roman"/>
          <w:sz w:val="24"/>
          <w:szCs w:val="24"/>
          <w:lang w:val="en-US"/>
        </w:rPr>
        <w:t>, 69 reports, covering 179 AEFIs, related to mandatory vaccines were sent to Campania Pharmacovigilance Regional Centre. A substantial increase in AEFIs reporting was observed after the adoption of Law 119/2017</w:t>
      </w:r>
      <w:r w:rsidRPr="008D20E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B13FD" w:rsidRPr="008D20EF">
        <w:rPr>
          <w:rFonts w:ascii="Times New Roman" w:hAnsi="Times New Roman" w:cs="Times New Roman"/>
          <w:sz w:val="24"/>
          <w:szCs w:val="24"/>
          <w:lang w:val="en-US"/>
        </w:rPr>
        <w:t>Out of 69 reports, 58% reported AEFIs that were considered as not serious</w:t>
      </w:r>
      <w:r w:rsidR="00E72CE6" w:rsidRPr="008D20EF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FB13FD" w:rsidRPr="008D20EF">
        <w:rPr>
          <w:rFonts w:ascii="Times New Roman" w:hAnsi="Times New Roman" w:cs="Times New Roman"/>
          <w:sz w:val="24"/>
          <w:szCs w:val="24"/>
          <w:lang w:val="en-US"/>
        </w:rPr>
        <w:t xml:space="preserve"> 62.5% had a favorable outcome. Out of 179 AEFIs, more than half referred to the following SOC: “general disorders and administration site conditions”, “nervous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system disorders”, and “psychiatric disorders”. </w:t>
      </w:r>
      <w:r w:rsidR="00E72CE6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>he highest number of reports came from patient/citizen.</w:t>
      </w:r>
    </w:p>
    <w:p w14:paraId="49CA2E9F" w14:textId="5305458D" w:rsidR="00FB13FD" w:rsidRDefault="001F50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>e found some differences between reports sent to the RNF before and after the adoption of Law 119/2017</w:t>
      </w:r>
      <w:r w:rsidR="00E72CE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in terms of number of reports (18 </w:t>
      </w:r>
      <w:r w:rsidR="00E72CE6">
        <w:rPr>
          <w:rFonts w:ascii="Times New Roman" w:hAnsi="Times New Roman" w:cs="Times New Roman"/>
          <w:sz w:val="24"/>
          <w:szCs w:val="24"/>
          <w:lang w:val="en-US"/>
        </w:rPr>
        <w:t>before the</w:t>
      </w:r>
      <w:r w:rsidR="00CE77B2">
        <w:rPr>
          <w:rFonts w:ascii="Times New Roman" w:hAnsi="Times New Roman" w:cs="Times New Roman"/>
          <w:sz w:val="24"/>
          <w:szCs w:val="24"/>
          <w:lang w:val="en-US"/>
        </w:rPr>
        <w:t xml:space="preserve"> adoption of the Law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2CE6">
        <w:rPr>
          <w:rFonts w:ascii="Times New Roman" w:hAnsi="Times New Roman" w:cs="Times New Roman"/>
          <w:sz w:val="24"/>
          <w:szCs w:val="24"/>
          <w:lang w:val="en-US"/>
        </w:rPr>
        <w:t>vs.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51 </w:t>
      </w:r>
      <w:r w:rsidR="00CE77B2"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), seriousness degree (AEFIs reported </w:t>
      </w:r>
      <w:r w:rsidR="00CE77B2">
        <w:rPr>
          <w:rFonts w:ascii="Times New Roman" w:hAnsi="Times New Roman" w:cs="Times New Roman"/>
          <w:sz w:val="24"/>
          <w:szCs w:val="24"/>
          <w:lang w:val="en-US"/>
        </w:rPr>
        <w:t>after the adoption of the Law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were more frequently not serious), and source of report (AEFIs reported </w:t>
      </w:r>
      <w:r w:rsidR="00CE77B2">
        <w:rPr>
          <w:rFonts w:ascii="Times New Roman" w:hAnsi="Times New Roman" w:cs="Times New Roman"/>
          <w:sz w:val="24"/>
          <w:szCs w:val="24"/>
          <w:lang w:val="en-US"/>
        </w:rPr>
        <w:t>after the adoption of the Law</w:t>
      </w:r>
      <w:r w:rsidR="00CE77B2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>came more frequently from patient/citizen)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>although no worrying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safety</w:t>
      </w:r>
      <w:r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data have emerged from our analysis. 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In our opinion, these differences </w:t>
      </w:r>
      <w:r w:rsidR="007461D9">
        <w:rPr>
          <w:rFonts w:ascii="Times New Roman" w:hAnsi="Times New Roman" w:cs="Times New Roman"/>
          <w:sz w:val="24"/>
          <w:szCs w:val="24"/>
          <w:lang w:val="en-US"/>
        </w:rPr>
        <w:t>should</w:t>
      </w:r>
      <w:r w:rsidR="007461D9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>be related to the</w:t>
      </w:r>
      <w:r w:rsidR="007461D9">
        <w:rPr>
          <w:rFonts w:ascii="Times New Roman" w:hAnsi="Times New Roman" w:cs="Times New Roman"/>
          <w:sz w:val="24"/>
          <w:szCs w:val="24"/>
          <w:lang w:val="en-US"/>
        </w:rPr>
        <w:t xml:space="preserve"> increase in vaccination coverage as well as to the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 intense debate that has followed the new </w:t>
      </w:r>
      <w:r w:rsidR="00E72CE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aw. </w:t>
      </w:r>
      <w:r w:rsidR="00E72CE6">
        <w:rPr>
          <w:rFonts w:ascii="Times New Roman" w:hAnsi="Times New Roman" w:cs="Times New Roman"/>
          <w:sz w:val="24"/>
          <w:szCs w:val="24"/>
          <w:lang w:val="en-US"/>
        </w:rPr>
        <w:t>In this context, t</w:t>
      </w:r>
      <w:r w:rsidR="00FB13FD" w:rsidRPr="002303A1">
        <w:rPr>
          <w:rFonts w:ascii="Times New Roman" w:hAnsi="Times New Roman" w:cs="Times New Roman"/>
          <w:sz w:val="24"/>
          <w:szCs w:val="24"/>
          <w:lang w:val="en-US"/>
        </w:rPr>
        <w:t xml:space="preserve">he continuous monitoring of vaccine safety and the fully implementation of vaccine-vigilance programs play a key role in achieving higher confidence in immunization programs and optimal vaccination coverage rate. </w:t>
      </w:r>
    </w:p>
    <w:p w14:paraId="0C4A1D39" w14:textId="251EB965" w:rsidR="00A47C01" w:rsidRDefault="00A47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BB1941" w14:textId="30554BFD" w:rsidR="00A47C01" w:rsidRDefault="00A47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AE3BEF" w14:textId="77777777" w:rsidR="00A47C01" w:rsidRPr="00C45ED0" w:rsidRDefault="00A47C01" w:rsidP="00A47C01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0"/>
          <w:shd w:val="clear" w:color="auto" w:fill="FFFFFF"/>
          <w:lang w:val="en-US"/>
        </w:rPr>
      </w:pPr>
      <w:r w:rsidRPr="00C45ED0">
        <w:rPr>
          <w:rFonts w:ascii="Times New Roman" w:hAnsi="Times New Roman" w:cs="Times New Roman"/>
          <w:b/>
          <w:color w:val="000000"/>
          <w:sz w:val="20"/>
          <w:shd w:val="clear" w:color="auto" w:fill="FFFFFF"/>
          <w:lang w:val="en-US"/>
        </w:rPr>
        <w:t>Keywords</w:t>
      </w:r>
      <w:r w:rsidRPr="00C45ED0">
        <w:rPr>
          <w:rFonts w:ascii="Times New Roman" w:hAnsi="Times New Roman" w:cs="Times New Roman"/>
          <w:color w:val="000000"/>
          <w:sz w:val="20"/>
          <w:shd w:val="clear" w:color="auto" w:fill="FFFFFF"/>
          <w:lang w:val="en-US"/>
        </w:rPr>
        <w:t>: mandatory vaccines, safety, Italian pharmacovigilance, RNF, AEFI.</w:t>
      </w:r>
    </w:p>
    <w:p w14:paraId="5350E693" w14:textId="77777777" w:rsidR="00A47C01" w:rsidRDefault="00A47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47C01" w:rsidSect="00A47C01">
      <w:footerReference w:type="default" r:id="rId8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68592" w14:textId="77777777" w:rsidR="000B5611" w:rsidRDefault="000B5611" w:rsidP="00E25C6D">
      <w:pPr>
        <w:spacing w:after="0" w:line="240" w:lineRule="auto"/>
      </w:pPr>
      <w:r>
        <w:separator/>
      </w:r>
    </w:p>
  </w:endnote>
  <w:endnote w:type="continuationSeparator" w:id="0">
    <w:p w14:paraId="0B020AE3" w14:textId="77777777" w:rsidR="000B5611" w:rsidRDefault="000B5611" w:rsidP="00E25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498312"/>
      <w:docPartObj>
        <w:docPartGallery w:val="Page Numbers (Bottom of Page)"/>
        <w:docPartUnique/>
      </w:docPartObj>
    </w:sdtPr>
    <w:sdtEndPr/>
    <w:sdtContent>
      <w:p w14:paraId="01ADC808" w14:textId="65A5B15B" w:rsidR="00DF2F3A" w:rsidRDefault="00DF2F3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C01">
          <w:rPr>
            <w:noProof/>
          </w:rPr>
          <w:t>1</w:t>
        </w:r>
        <w:r>
          <w:fldChar w:fldCharType="end"/>
        </w:r>
      </w:p>
    </w:sdtContent>
  </w:sdt>
  <w:p w14:paraId="02DF8ED6" w14:textId="77777777" w:rsidR="00DF2F3A" w:rsidRDefault="00DF2F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1EF9D" w14:textId="77777777" w:rsidR="000B5611" w:rsidRDefault="000B5611" w:rsidP="00E25C6D">
      <w:pPr>
        <w:spacing w:after="0" w:line="240" w:lineRule="auto"/>
      </w:pPr>
      <w:r>
        <w:separator/>
      </w:r>
    </w:p>
  </w:footnote>
  <w:footnote w:type="continuationSeparator" w:id="0">
    <w:p w14:paraId="446B4353" w14:textId="77777777" w:rsidR="000B5611" w:rsidRDefault="000B5611" w:rsidP="00E25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3072C"/>
    <w:multiLevelType w:val="hybridMultilevel"/>
    <w:tmpl w:val="061A87D8"/>
    <w:lvl w:ilvl="0" w:tplc="DFB0EC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116"/>
    <w:rsid w:val="00000E59"/>
    <w:rsid w:val="0000196C"/>
    <w:rsid w:val="000076D0"/>
    <w:rsid w:val="0002253C"/>
    <w:rsid w:val="00023800"/>
    <w:rsid w:val="000341E8"/>
    <w:rsid w:val="0003766C"/>
    <w:rsid w:val="0004088A"/>
    <w:rsid w:val="000446EB"/>
    <w:rsid w:val="00052E8B"/>
    <w:rsid w:val="00055CC6"/>
    <w:rsid w:val="0006092A"/>
    <w:rsid w:val="000632C9"/>
    <w:rsid w:val="000654FE"/>
    <w:rsid w:val="00070733"/>
    <w:rsid w:val="00070D90"/>
    <w:rsid w:val="00076069"/>
    <w:rsid w:val="00091C89"/>
    <w:rsid w:val="0009267C"/>
    <w:rsid w:val="000936F2"/>
    <w:rsid w:val="00095374"/>
    <w:rsid w:val="0009591F"/>
    <w:rsid w:val="000A28FE"/>
    <w:rsid w:val="000A471E"/>
    <w:rsid w:val="000A74A2"/>
    <w:rsid w:val="000B5611"/>
    <w:rsid w:val="000B5B8A"/>
    <w:rsid w:val="000B65AB"/>
    <w:rsid w:val="000C1631"/>
    <w:rsid w:val="000C36F8"/>
    <w:rsid w:val="000C4DF5"/>
    <w:rsid w:val="000C66A0"/>
    <w:rsid w:val="000D46F5"/>
    <w:rsid w:val="000D6FDE"/>
    <w:rsid w:val="000E00EE"/>
    <w:rsid w:val="000E0813"/>
    <w:rsid w:val="000E2091"/>
    <w:rsid w:val="000E3703"/>
    <w:rsid w:val="000E6B91"/>
    <w:rsid w:val="001009D9"/>
    <w:rsid w:val="00105109"/>
    <w:rsid w:val="001054C7"/>
    <w:rsid w:val="001070DF"/>
    <w:rsid w:val="00115D68"/>
    <w:rsid w:val="00121801"/>
    <w:rsid w:val="00124FE8"/>
    <w:rsid w:val="00137A6A"/>
    <w:rsid w:val="00141A99"/>
    <w:rsid w:val="00144957"/>
    <w:rsid w:val="00144D97"/>
    <w:rsid w:val="001520FC"/>
    <w:rsid w:val="0015409C"/>
    <w:rsid w:val="00154563"/>
    <w:rsid w:val="001679CC"/>
    <w:rsid w:val="00184116"/>
    <w:rsid w:val="00187818"/>
    <w:rsid w:val="00190BD0"/>
    <w:rsid w:val="001A6844"/>
    <w:rsid w:val="001A6AF5"/>
    <w:rsid w:val="001A7F99"/>
    <w:rsid w:val="001B4380"/>
    <w:rsid w:val="001B49E7"/>
    <w:rsid w:val="001C03A7"/>
    <w:rsid w:val="001C0463"/>
    <w:rsid w:val="001C187F"/>
    <w:rsid w:val="001C35CD"/>
    <w:rsid w:val="001E2C04"/>
    <w:rsid w:val="001F01BA"/>
    <w:rsid w:val="001F0780"/>
    <w:rsid w:val="001F50BD"/>
    <w:rsid w:val="00201DA9"/>
    <w:rsid w:val="0020232B"/>
    <w:rsid w:val="0020419B"/>
    <w:rsid w:val="00211F5E"/>
    <w:rsid w:val="00217A9B"/>
    <w:rsid w:val="002278EA"/>
    <w:rsid w:val="002303A1"/>
    <w:rsid w:val="00230BC4"/>
    <w:rsid w:val="00232F1A"/>
    <w:rsid w:val="00234C32"/>
    <w:rsid w:val="002400A6"/>
    <w:rsid w:val="00246489"/>
    <w:rsid w:val="00250D34"/>
    <w:rsid w:val="0025197F"/>
    <w:rsid w:val="0028122D"/>
    <w:rsid w:val="00284BD4"/>
    <w:rsid w:val="0029232A"/>
    <w:rsid w:val="00292405"/>
    <w:rsid w:val="00294C67"/>
    <w:rsid w:val="00296E3A"/>
    <w:rsid w:val="002B32A2"/>
    <w:rsid w:val="002B55DF"/>
    <w:rsid w:val="002B6F25"/>
    <w:rsid w:val="002C2A0C"/>
    <w:rsid w:val="002C70DC"/>
    <w:rsid w:val="002D1CA9"/>
    <w:rsid w:val="002E4CF4"/>
    <w:rsid w:val="002F63E8"/>
    <w:rsid w:val="002F6F51"/>
    <w:rsid w:val="00304B0A"/>
    <w:rsid w:val="0030544B"/>
    <w:rsid w:val="00311AEB"/>
    <w:rsid w:val="00324609"/>
    <w:rsid w:val="00332A0E"/>
    <w:rsid w:val="00342240"/>
    <w:rsid w:val="00355D79"/>
    <w:rsid w:val="00371076"/>
    <w:rsid w:val="00386A3B"/>
    <w:rsid w:val="003A0B40"/>
    <w:rsid w:val="003A163C"/>
    <w:rsid w:val="003A6C36"/>
    <w:rsid w:val="003B1F81"/>
    <w:rsid w:val="003B26B4"/>
    <w:rsid w:val="003C2C8B"/>
    <w:rsid w:val="003D21FB"/>
    <w:rsid w:val="003D4B45"/>
    <w:rsid w:val="003D591A"/>
    <w:rsid w:val="003D7508"/>
    <w:rsid w:val="003E68C6"/>
    <w:rsid w:val="003F1DF0"/>
    <w:rsid w:val="003F3731"/>
    <w:rsid w:val="003F4E06"/>
    <w:rsid w:val="003F79CF"/>
    <w:rsid w:val="004032AC"/>
    <w:rsid w:val="004130FD"/>
    <w:rsid w:val="004236BE"/>
    <w:rsid w:val="004260F1"/>
    <w:rsid w:val="004307A9"/>
    <w:rsid w:val="00430C0B"/>
    <w:rsid w:val="004316CB"/>
    <w:rsid w:val="004337A6"/>
    <w:rsid w:val="004420C4"/>
    <w:rsid w:val="00447ACD"/>
    <w:rsid w:val="004503DE"/>
    <w:rsid w:val="004530C5"/>
    <w:rsid w:val="00454D47"/>
    <w:rsid w:val="0046126B"/>
    <w:rsid w:val="00472A15"/>
    <w:rsid w:val="0047569F"/>
    <w:rsid w:val="004844AD"/>
    <w:rsid w:val="004873F2"/>
    <w:rsid w:val="00491DB2"/>
    <w:rsid w:val="004A0F49"/>
    <w:rsid w:val="004A70A2"/>
    <w:rsid w:val="004B61F3"/>
    <w:rsid w:val="004B7AF7"/>
    <w:rsid w:val="004C77CB"/>
    <w:rsid w:val="004D443A"/>
    <w:rsid w:val="004E3052"/>
    <w:rsid w:val="004F3B89"/>
    <w:rsid w:val="004F5115"/>
    <w:rsid w:val="005031C6"/>
    <w:rsid w:val="00517AC6"/>
    <w:rsid w:val="0052566B"/>
    <w:rsid w:val="005436F3"/>
    <w:rsid w:val="00550847"/>
    <w:rsid w:val="00553512"/>
    <w:rsid w:val="0055503D"/>
    <w:rsid w:val="005578B7"/>
    <w:rsid w:val="00573222"/>
    <w:rsid w:val="005732FB"/>
    <w:rsid w:val="0058135F"/>
    <w:rsid w:val="005814F2"/>
    <w:rsid w:val="00582AAF"/>
    <w:rsid w:val="0059015E"/>
    <w:rsid w:val="00597713"/>
    <w:rsid w:val="005A4489"/>
    <w:rsid w:val="005A4CB8"/>
    <w:rsid w:val="005A658B"/>
    <w:rsid w:val="005B1A2C"/>
    <w:rsid w:val="005B3684"/>
    <w:rsid w:val="005B3845"/>
    <w:rsid w:val="005D066D"/>
    <w:rsid w:val="005D2B9D"/>
    <w:rsid w:val="005D6D32"/>
    <w:rsid w:val="005E05AB"/>
    <w:rsid w:val="005E6F62"/>
    <w:rsid w:val="005F41D1"/>
    <w:rsid w:val="005F7917"/>
    <w:rsid w:val="00602D8D"/>
    <w:rsid w:val="00627E0D"/>
    <w:rsid w:val="00630F85"/>
    <w:rsid w:val="00635492"/>
    <w:rsid w:val="00636A30"/>
    <w:rsid w:val="00636B78"/>
    <w:rsid w:val="00651700"/>
    <w:rsid w:val="00651799"/>
    <w:rsid w:val="00654F7B"/>
    <w:rsid w:val="0067244B"/>
    <w:rsid w:val="00673BF2"/>
    <w:rsid w:val="00676248"/>
    <w:rsid w:val="006816BB"/>
    <w:rsid w:val="0068368E"/>
    <w:rsid w:val="00684FC0"/>
    <w:rsid w:val="00691EB6"/>
    <w:rsid w:val="00697CE8"/>
    <w:rsid w:val="006C1285"/>
    <w:rsid w:val="006C1458"/>
    <w:rsid w:val="006C3299"/>
    <w:rsid w:val="006D2431"/>
    <w:rsid w:val="006D40AA"/>
    <w:rsid w:val="006D45ED"/>
    <w:rsid w:val="006D6C9C"/>
    <w:rsid w:val="006E0004"/>
    <w:rsid w:val="006E0B83"/>
    <w:rsid w:val="006E2D26"/>
    <w:rsid w:val="006E604A"/>
    <w:rsid w:val="006F21B3"/>
    <w:rsid w:val="006F26AA"/>
    <w:rsid w:val="0070253D"/>
    <w:rsid w:val="00703B3E"/>
    <w:rsid w:val="00714F1C"/>
    <w:rsid w:val="00722407"/>
    <w:rsid w:val="007246C5"/>
    <w:rsid w:val="00732D2E"/>
    <w:rsid w:val="00735F2D"/>
    <w:rsid w:val="007461D9"/>
    <w:rsid w:val="00751186"/>
    <w:rsid w:val="00752FE9"/>
    <w:rsid w:val="0075353D"/>
    <w:rsid w:val="007661A8"/>
    <w:rsid w:val="00770A39"/>
    <w:rsid w:val="0077146E"/>
    <w:rsid w:val="00775A40"/>
    <w:rsid w:val="00781A9D"/>
    <w:rsid w:val="0078387C"/>
    <w:rsid w:val="0078496E"/>
    <w:rsid w:val="00785ACF"/>
    <w:rsid w:val="00791A25"/>
    <w:rsid w:val="00792A08"/>
    <w:rsid w:val="00797814"/>
    <w:rsid w:val="007A596D"/>
    <w:rsid w:val="007C1F9D"/>
    <w:rsid w:val="007C3554"/>
    <w:rsid w:val="007C42D8"/>
    <w:rsid w:val="007D2C56"/>
    <w:rsid w:val="007E21B8"/>
    <w:rsid w:val="007E334F"/>
    <w:rsid w:val="007E5915"/>
    <w:rsid w:val="007F3FF9"/>
    <w:rsid w:val="00816A70"/>
    <w:rsid w:val="008200ED"/>
    <w:rsid w:val="00820E84"/>
    <w:rsid w:val="00842D63"/>
    <w:rsid w:val="00843259"/>
    <w:rsid w:val="00847488"/>
    <w:rsid w:val="008813D6"/>
    <w:rsid w:val="0088264B"/>
    <w:rsid w:val="008848F5"/>
    <w:rsid w:val="00890F97"/>
    <w:rsid w:val="00891C06"/>
    <w:rsid w:val="00893CAE"/>
    <w:rsid w:val="008950CC"/>
    <w:rsid w:val="008A1B4E"/>
    <w:rsid w:val="008A1BAA"/>
    <w:rsid w:val="008A2204"/>
    <w:rsid w:val="008A78E3"/>
    <w:rsid w:val="008B6BA0"/>
    <w:rsid w:val="008C6D66"/>
    <w:rsid w:val="008D20EF"/>
    <w:rsid w:val="008D49EF"/>
    <w:rsid w:val="008D5CD0"/>
    <w:rsid w:val="008F02CD"/>
    <w:rsid w:val="008F5781"/>
    <w:rsid w:val="00913EA2"/>
    <w:rsid w:val="0091528C"/>
    <w:rsid w:val="00920409"/>
    <w:rsid w:val="009255F5"/>
    <w:rsid w:val="009320DD"/>
    <w:rsid w:val="00945381"/>
    <w:rsid w:val="00966585"/>
    <w:rsid w:val="00972F81"/>
    <w:rsid w:val="00974AE6"/>
    <w:rsid w:val="00986971"/>
    <w:rsid w:val="009B2992"/>
    <w:rsid w:val="009B2E86"/>
    <w:rsid w:val="009B5E6A"/>
    <w:rsid w:val="009C2679"/>
    <w:rsid w:val="009C27CC"/>
    <w:rsid w:val="009D1486"/>
    <w:rsid w:val="009D3F76"/>
    <w:rsid w:val="009D51D5"/>
    <w:rsid w:val="009E0932"/>
    <w:rsid w:val="009E1E75"/>
    <w:rsid w:val="009E6292"/>
    <w:rsid w:val="009F182B"/>
    <w:rsid w:val="009F3E32"/>
    <w:rsid w:val="009F6869"/>
    <w:rsid w:val="00A12942"/>
    <w:rsid w:val="00A315F2"/>
    <w:rsid w:val="00A34F34"/>
    <w:rsid w:val="00A47C01"/>
    <w:rsid w:val="00A66FB9"/>
    <w:rsid w:val="00A67B95"/>
    <w:rsid w:val="00A76599"/>
    <w:rsid w:val="00A76F35"/>
    <w:rsid w:val="00A806D3"/>
    <w:rsid w:val="00A87B19"/>
    <w:rsid w:val="00A87CB0"/>
    <w:rsid w:val="00A90D97"/>
    <w:rsid w:val="00A96941"/>
    <w:rsid w:val="00AA50D9"/>
    <w:rsid w:val="00AA565E"/>
    <w:rsid w:val="00AA64F8"/>
    <w:rsid w:val="00AB051B"/>
    <w:rsid w:val="00AC0E54"/>
    <w:rsid w:val="00AC26B9"/>
    <w:rsid w:val="00AC7D0B"/>
    <w:rsid w:val="00AE0F67"/>
    <w:rsid w:val="00AE0F76"/>
    <w:rsid w:val="00AE3C67"/>
    <w:rsid w:val="00AE6FAB"/>
    <w:rsid w:val="00AF1C99"/>
    <w:rsid w:val="00AF2301"/>
    <w:rsid w:val="00AF3ED1"/>
    <w:rsid w:val="00B03611"/>
    <w:rsid w:val="00B048D1"/>
    <w:rsid w:val="00B04930"/>
    <w:rsid w:val="00B06FB7"/>
    <w:rsid w:val="00B15487"/>
    <w:rsid w:val="00B20E79"/>
    <w:rsid w:val="00B22F8D"/>
    <w:rsid w:val="00B23C84"/>
    <w:rsid w:val="00B27778"/>
    <w:rsid w:val="00B27F97"/>
    <w:rsid w:val="00B34CC8"/>
    <w:rsid w:val="00B42279"/>
    <w:rsid w:val="00B47A16"/>
    <w:rsid w:val="00B56D58"/>
    <w:rsid w:val="00B62FF3"/>
    <w:rsid w:val="00B642F0"/>
    <w:rsid w:val="00B6539B"/>
    <w:rsid w:val="00B66BAA"/>
    <w:rsid w:val="00B74B70"/>
    <w:rsid w:val="00B75B88"/>
    <w:rsid w:val="00B85F18"/>
    <w:rsid w:val="00B87D23"/>
    <w:rsid w:val="00BA0530"/>
    <w:rsid w:val="00BB37CB"/>
    <w:rsid w:val="00BD14A5"/>
    <w:rsid w:val="00BE05AD"/>
    <w:rsid w:val="00BE6DE4"/>
    <w:rsid w:val="00BE790B"/>
    <w:rsid w:val="00BF35AC"/>
    <w:rsid w:val="00BF3E4A"/>
    <w:rsid w:val="00C00B41"/>
    <w:rsid w:val="00C024B3"/>
    <w:rsid w:val="00C05288"/>
    <w:rsid w:val="00C05EE6"/>
    <w:rsid w:val="00C0781F"/>
    <w:rsid w:val="00C132AF"/>
    <w:rsid w:val="00C1353F"/>
    <w:rsid w:val="00C15201"/>
    <w:rsid w:val="00C17D6C"/>
    <w:rsid w:val="00C27E47"/>
    <w:rsid w:val="00C30B45"/>
    <w:rsid w:val="00C35217"/>
    <w:rsid w:val="00C45ED0"/>
    <w:rsid w:val="00C6134E"/>
    <w:rsid w:val="00C67147"/>
    <w:rsid w:val="00C74B98"/>
    <w:rsid w:val="00C74D69"/>
    <w:rsid w:val="00C7557C"/>
    <w:rsid w:val="00C90EDD"/>
    <w:rsid w:val="00C94236"/>
    <w:rsid w:val="00C9724E"/>
    <w:rsid w:val="00CA6C6D"/>
    <w:rsid w:val="00CC56C4"/>
    <w:rsid w:val="00CD635E"/>
    <w:rsid w:val="00CE3E53"/>
    <w:rsid w:val="00CE77B2"/>
    <w:rsid w:val="00CF067A"/>
    <w:rsid w:val="00D017A6"/>
    <w:rsid w:val="00D0352E"/>
    <w:rsid w:val="00D148A6"/>
    <w:rsid w:val="00D17B6F"/>
    <w:rsid w:val="00D24CC8"/>
    <w:rsid w:val="00D3064A"/>
    <w:rsid w:val="00D318FB"/>
    <w:rsid w:val="00D43DE3"/>
    <w:rsid w:val="00D647CC"/>
    <w:rsid w:val="00D64B50"/>
    <w:rsid w:val="00D820B1"/>
    <w:rsid w:val="00D84180"/>
    <w:rsid w:val="00D90367"/>
    <w:rsid w:val="00D94B28"/>
    <w:rsid w:val="00DB18EE"/>
    <w:rsid w:val="00DB6530"/>
    <w:rsid w:val="00DC250B"/>
    <w:rsid w:val="00DC31F5"/>
    <w:rsid w:val="00DC3233"/>
    <w:rsid w:val="00DC59E9"/>
    <w:rsid w:val="00DD0B9C"/>
    <w:rsid w:val="00DE2E55"/>
    <w:rsid w:val="00DE480C"/>
    <w:rsid w:val="00DE4F99"/>
    <w:rsid w:val="00DF2F3A"/>
    <w:rsid w:val="00DF36E0"/>
    <w:rsid w:val="00E001E9"/>
    <w:rsid w:val="00E06B2B"/>
    <w:rsid w:val="00E1398B"/>
    <w:rsid w:val="00E16253"/>
    <w:rsid w:val="00E2119C"/>
    <w:rsid w:val="00E223A5"/>
    <w:rsid w:val="00E25739"/>
    <w:rsid w:val="00E25C6D"/>
    <w:rsid w:val="00E34321"/>
    <w:rsid w:val="00E45A5D"/>
    <w:rsid w:val="00E56256"/>
    <w:rsid w:val="00E56ED0"/>
    <w:rsid w:val="00E6642E"/>
    <w:rsid w:val="00E667E9"/>
    <w:rsid w:val="00E71D97"/>
    <w:rsid w:val="00E72CE6"/>
    <w:rsid w:val="00E76CE0"/>
    <w:rsid w:val="00E91FDC"/>
    <w:rsid w:val="00E92579"/>
    <w:rsid w:val="00EA0DBA"/>
    <w:rsid w:val="00EA36BE"/>
    <w:rsid w:val="00EA7FD0"/>
    <w:rsid w:val="00EB7E19"/>
    <w:rsid w:val="00EC2AEA"/>
    <w:rsid w:val="00EC2E99"/>
    <w:rsid w:val="00ED0711"/>
    <w:rsid w:val="00ED242C"/>
    <w:rsid w:val="00ED72B4"/>
    <w:rsid w:val="00EE1A7F"/>
    <w:rsid w:val="00EE39F1"/>
    <w:rsid w:val="00EE41A9"/>
    <w:rsid w:val="00EE7CBE"/>
    <w:rsid w:val="00EF0A43"/>
    <w:rsid w:val="00EF5EE6"/>
    <w:rsid w:val="00F01B7A"/>
    <w:rsid w:val="00F0206C"/>
    <w:rsid w:val="00F11034"/>
    <w:rsid w:val="00F1385E"/>
    <w:rsid w:val="00F15DBF"/>
    <w:rsid w:val="00F17819"/>
    <w:rsid w:val="00F26E89"/>
    <w:rsid w:val="00F41EB8"/>
    <w:rsid w:val="00F4247B"/>
    <w:rsid w:val="00F52431"/>
    <w:rsid w:val="00F53A9B"/>
    <w:rsid w:val="00F55A65"/>
    <w:rsid w:val="00F61C3F"/>
    <w:rsid w:val="00F759A4"/>
    <w:rsid w:val="00F80459"/>
    <w:rsid w:val="00FA1AF7"/>
    <w:rsid w:val="00FA310E"/>
    <w:rsid w:val="00FB13FD"/>
    <w:rsid w:val="00FB2FD1"/>
    <w:rsid w:val="00FC03F8"/>
    <w:rsid w:val="00FD6FA3"/>
    <w:rsid w:val="00FE0F62"/>
    <w:rsid w:val="00FE4CC6"/>
    <w:rsid w:val="00FE5364"/>
    <w:rsid w:val="00FE5E05"/>
    <w:rsid w:val="00FF09E5"/>
    <w:rsid w:val="00FF59F0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212C2"/>
  <w15:docId w15:val="{434C2BAD-8D7D-4695-8417-B0580088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47AC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25C6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25C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C6D"/>
  </w:style>
  <w:style w:type="paragraph" w:styleId="Pidipagina">
    <w:name w:val="footer"/>
    <w:basedOn w:val="Normale"/>
    <w:link w:val="PidipaginaCarattere"/>
    <w:uiPriority w:val="99"/>
    <w:unhideWhenUsed/>
    <w:rsid w:val="00E25C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C6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37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374"/>
    <w:rPr>
      <w:rFonts w:ascii="Lucida Grande" w:hAnsi="Lucida Grande" w:cs="Lucida Grande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095374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95374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95374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95374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95374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8A2204"/>
    <w:pPr>
      <w:spacing w:after="0" w:line="240" w:lineRule="auto"/>
    </w:pPr>
  </w:style>
  <w:style w:type="character" w:styleId="Numeroriga">
    <w:name w:val="line number"/>
    <w:basedOn w:val="Carpredefinitoparagrafo"/>
    <w:uiPriority w:val="99"/>
    <w:semiHidden/>
    <w:unhideWhenUsed/>
    <w:rsid w:val="00CE3E53"/>
  </w:style>
  <w:style w:type="paragraph" w:styleId="NormaleWeb">
    <w:name w:val="Normal (Web)"/>
    <w:basedOn w:val="Normale"/>
    <w:uiPriority w:val="99"/>
    <w:unhideWhenUsed/>
    <w:rsid w:val="00F01B7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318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83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3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289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17927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7499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2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2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943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9129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41132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37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2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2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3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3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77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3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343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31273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020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0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943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1858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30431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17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5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405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416361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62646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0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14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08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7053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2917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7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9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9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1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E829D-BF71-4F7B-8A26-6E9F8F9A0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Capuano</dc:creator>
  <cp:lastModifiedBy>Cristina Scavone</cp:lastModifiedBy>
  <cp:revision>3</cp:revision>
  <cp:lastPrinted>2018-07-27T15:09:00Z</cp:lastPrinted>
  <dcterms:created xsi:type="dcterms:W3CDTF">2020-01-13T14:24:00Z</dcterms:created>
  <dcterms:modified xsi:type="dcterms:W3CDTF">2020-01-13T14:26:00Z</dcterms:modified>
</cp:coreProperties>
</file>