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716" w:rsidRPr="00824A45" w:rsidRDefault="00614716" w:rsidP="001E5E72">
      <w:pPr>
        <w:spacing w:after="0" w:line="480" w:lineRule="auto"/>
        <w:rPr>
          <w:rFonts w:ascii="Times New Roman" w:hAnsi="Times New Roman" w:cs="Times New Roman"/>
          <w:sz w:val="24"/>
        </w:rPr>
      </w:pPr>
      <w:bookmarkStart w:id="0" w:name="_GoBack"/>
      <w:r w:rsidRPr="00824A45">
        <w:rPr>
          <w:rFonts w:ascii="Times New Roman" w:hAnsi="Times New Roman" w:cs="Times New Roman"/>
          <w:sz w:val="24"/>
        </w:rPr>
        <w:t>Measles Vaccine Failure in the Present Era</w:t>
      </w:r>
    </w:p>
    <w:p w:rsidR="00614716" w:rsidRPr="00824A45" w:rsidRDefault="00614716" w:rsidP="001E5E72">
      <w:pPr>
        <w:spacing w:after="0" w:line="480" w:lineRule="auto"/>
        <w:rPr>
          <w:rFonts w:ascii="Times New Roman" w:hAnsi="Times New Roman" w:cs="Times New Roman"/>
          <w:sz w:val="24"/>
        </w:rPr>
      </w:pPr>
      <w:r w:rsidRPr="00824A45">
        <w:rPr>
          <w:rFonts w:ascii="Times New Roman" w:hAnsi="Times New Roman" w:cs="Times New Roman"/>
          <w:sz w:val="24"/>
        </w:rPr>
        <w:tab/>
        <w:t>James D Cherry</w:t>
      </w:r>
    </w:p>
    <w:p w:rsidR="00614716" w:rsidRPr="00824A45" w:rsidRDefault="00614716" w:rsidP="001E5E72">
      <w:pPr>
        <w:spacing w:after="0" w:line="480" w:lineRule="auto"/>
        <w:rPr>
          <w:rFonts w:ascii="Times New Roman" w:hAnsi="Times New Roman" w:cs="Times New Roman"/>
          <w:sz w:val="24"/>
        </w:rPr>
      </w:pPr>
    </w:p>
    <w:p w:rsidR="00614716" w:rsidRPr="00824A45" w:rsidRDefault="00614716" w:rsidP="001E5E72">
      <w:pPr>
        <w:spacing w:after="0" w:line="480" w:lineRule="auto"/>
        <w:jc w:val="both"/>
        <w:rPr>
          <w:rFonts w:ascii="Times New Roman" w:hAnsi="Times New Roman" w:cs="Times New Roman"/>
          <w:sz w:val="24"/>
        </w:rPr>
      </w:pPr>
      <w:r w:rsidRPr="00824A45">
        <w:rPr>
          <w:rFonts w:ascii="Times New Roman" w:hAnsi="Times New Roman" w:cs="Times New Roman"/>
          <w:sz w:val="24"/>
        </w:rPr>
        <w:tab/>
        <w:t>The universal use of a two dose measles immunization program eliminated endemic measles in the U.S. However, measles is epidemic in much of Asia, Europe and Africa and this can lead to measles introductions and localized transmission in the U.S.</w:t>
      </w:r>
    </w:p>
    <w:p w:rsidR="00614716" w:rsidRPr="00824A45" w:rsidRDefault="00614716" w:rsidP="001E5E72">
      <w:pPr>
        <w:spacing w:after="0" w:line="480" w:lineRule="auto"/>
        <w:jc w:val="both"/>
        <w:rPr>
          <w:rFonts w:ascii="Times New Roman" w:hAnsi="Times New Roman" w:cs="Times New Roman"/>
          <w:sz w:val="24"/>
        </w:rPr>
      </w:pPr>
      <w:r w:rsidRPr="00824A45">
        <w:rPr>
          <w:rFonts w:ascii="Times New Roman" w:hAnsi="Times New Roman" w:cs="Times New Roman"/>
          <w:sz w:val="24"/>
        </w:rPr>
        <w:tab/>
        <w:t>We analyzed the cases of measles in California between 2000 and 2015, the history of secondary vaccine failure since it was described in 1972 and the effects of revaccination in persons whose measles antibody had waned. In California in 2014-2015, there were 124 cases of measles with 71% occurring in non-immunized persons. However, 20% had had ≥ 2 doses of a measles vaccine and are considered secondary vaccine failures. Of these secondary failure cases, the time interval (median) from their second dose was 16.7 years.</w:t>
      </w:r>
    </w:p>
    <w:p w:rsidR="00614716" w:rsidRPr="00824A45" w:rsidRDefault="00614716" w:rsidP="001E5E72">
      <w:pPr>
        <w:spacing w:after="0" w:line="480" w:lineRule="auto"/>
        <w:jc w:val="both"/>
        <w:rPr>
          <w:rFonts w:ascii="Times New Roman" w:hAnsi="Times New Roman" w:cs="Times New Roman"/>
          <w:sz w:val="24"/>
        </w:rPr>
      </w:pPr>
      <w:r w:rsidRPr="00824A45">
        <w:rPr>
          <w:rFonts w:ascii="Times New Roman" w:hAnsi="Times New Roman" w:cs="Times New Roman"/>
          <w:sz w:val="24"/>
        </w:rPr>
        <w:tab/>
        <w:t>Measles antibody titers after vaccination are lower than those following natural infection. At the present time in the U.S., the vast majority of the population is not experiencing boosts in their measles titers by exposure to patients with measles. Past studies have suggested that attempts to boost titers in primed individuals did not elicit prolonged titer rises. However, these booster attempts occurred relatively soon after primary immunization.</w:t>
      </w:r>
    </w:p>
    <w:p w:rsidR="00614716" w:rsidRPr="00824A45" w:rsidRDefault="00614716" w:rsidP="001E5E72">
      <w:pPr>
        <w:spacing w:after="0" w:line="480" w:lineRule="auto"/>
        <w:jc w:val="both"/>
        <w:rPr>
          <w:rFonts w:ascii="Times New Roman" w:hAnsi="Times New Roman" w:cs="Times New Roman"/>
          <w:sz w:val="24"/>
        </w:rPr>
      </w:pPr>
      <w:r w:rsidRPr="00824A45">
        <w:rPr>
          <w:rFonts w:ascii="Times New Roman" w:hAnsi="Times New Roman" w:cs="Times New Roman"/>
          <w:sz w:val="24"/>
        </w:rPr>
        <w:tab/>
        <w:t xml:space="preserve">In the present post-elimination era, </w:t>
      </w:r>
      <w:r w:rsidR="001E5E72" w:rsidRPr="00824A45">
        <w:rPr>
          <w:rFonts w:ascii="Times New Roman" w:hAnsi="Times New Roman" w:cs="Times New Roman"/>
          <w:sz w:val="24"/>
        </w:rPr>
        <w:t>waning vaccine induced immunity leads us to conclude that measles secondary vaccine failure will soon be an important problem in the U.S.; therefore, revaccination studies in middle aged individuals should be instituted.</w:t>
      </w:r>
      <w:bookmarkEnd w:id="0"/>
    </w:p>
    <w:sectPr w:rsidR="00614716" w:rsidRPr="00824A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716"/>
    <w:rsid w:val="001E5E72"/>
    <w:rsid w:val="004A5D8D"/>
    <w:rsid w:val="00614716"/>
    <w:rsid w:val="00824A45"/>
    <w:rsid w:val="00E0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0D3C4-3332-44A8-AA64-F399D1948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UCLA HEALTH</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David</dc:creator>
  <cp:keywords/>
  <dc:description/>
  <cp:lastModifiedBy>Dang, David</cp:lastModifiedBy>
  <cp:revision>2</cp:revision>
  <dcterms:created xsi:type="dcterms:W3CDTF">2017-05-12T17:29:00Z</dcterms:created>
  <dcterms:modified xsi:type="dcterms:W3CDTF">2017-05-12T18:59:00Z</dcterms:modified>
</cp:coreProperties>
</file>