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7AF" w:rsidRDefault="002417AF" w:rsidP="008B236E">
      <w:pPr>
        <w:pStyle w:val="Default"/>
        <w:tabs>
          <w:tab w:val="left" w:pos="3330"/>
        </w:tabs>
        <w:ind w:right="-90"/>
      </w:pPr>
    </w:p>
    <w:p w:rsidR="002417AF" w:rsidRPr="002417AF" w:rsidRDefault="002417AF" w:rsidP="008B236E">
      <w:pPr>
        <w:pStyle w:val="Default"/>
        <w:tabs>
          <w:tab w:val="left" w:pos="3330"/>
        </w:tabs>
        <w:ind w:right="-90"/>
        <w:jc w:val="both"/>
        <w:rPr>
          <w:b/>
          <w:bCs/>
          <w:sz w:val="28"/>
          <w:szCs w:val="28"/>
        </w:rPr>
      </w:pPr>
      <w:r w:rsidRPr="002417AF">
        <w:rPr>
          <w:b/>
          <w:bCs/>
          <w:sz w:val="28"/>
          <w:szCs w:val="28"/>
        </w:rPr>
        <w:t>Collagen type IV dysregulation in renal glomerul</w:t>
      </w:r>
      <w:bookmarkStart w:id="0" w:name="_GoBack"/>
      <w:bookmarkEnd w:id="0"/>
      <w:r w:rsidRPr="002417AF">
        <w:rPr>
          <w:b/>
          <w:bCs/>
          <w:sz w:val="28"/>
          <w:szCs w:val="28"/>
        </w:rPr>
        <w:t>i, following the consumption of nitrate-containing drinking water in rat</w:t>
      </w:r>
    </w:p>
    <w:p w:rsidR="002417AF" w:rsidRDefault="002417AF" w:rsidP="008B236E">
      <w:pPr>
        <w:pStyle w:val="Default"/>
        <w:tabs>
          <w:tab w:val="left" w:pos="3330"/>
        </w:tabs>
        <w:ind w:right="-90"/>
        <w:jc w:val="both"/>
        <w:rPr>
          <w:rFonts w:asciiTheme="majorBidi" w:hAnsiTheme="majorBidi" w:cstheme="majorBidi"/>
          <w:sz w:val="40"/>
          <w:szCs w:val="40"/>
        </w:rPr>
      </w:pPr>
    </w:p>
    <w:p w:rsidR="00EA2E3B" w:rsidRPr="00747A16" w:rsidRDefault="00EA2E3B" w:rsidP="008B236E">
      <w:pPr>
        <w:tabs>
          <w:tab w:val="left" w:pos="3330"/>
          <w:tab w:val="left" w:pos="20070"/>
        </w:tabs>
        <w:spacing w:line="240" w:lineRule="auto"/>
        <w:ind w:right="-90"/>
        <w:jc w:val="both"/>
        <w:rPr>
          <w:rFonts w:asciiTheme="majorBidi" w:hAnsiTheme="majorBidi" w:cstheme="majorBidi"/>
          <w:b/>
          <w:bCs/>
          <w:sz w:val="24"/>
          <w:szCs w:val="24"/>
          <w:vertAlign w:val="superscript"/>
        </w:rPr>
      </w:pPr>
      <w:r w:rsidRPr="00747A16">
        <w:rPr>
          <w:rFonts w:asciiTheme="majorBidi" w:hAnsiTheme="majorBidi" w:cstheme="majorBidi"/>
          <w:b/>
          <w:bCs/>
          <w:sz w:val="24"/>
          <w:szCs w:val="24"/>
        </w:rPr>
        <w:t xml:space="preserve">Mohammad Reza </w:t>
      </w:r>
      <w:proofErr w:type="spellStart"/>
      <w:r w:rsidRPr="00747A16">
        <w:rPr>
          <w:rFonts w:asciiTheme="majorBidi" w:hAnsiTheme="majorBidi" w:cstheme="majorBidi"/>
          <w:b/>
          <w:bCs/>
          <w:sz w:val="24"/>
          <w:szCs w:val="24"/>
        </w:rPr>
        <w:t>Nikravesh</w:t>
      </w:r>
      <w:proofErr w:type="spellEnd"/>
      <w:r w:rsidRPr="00747A16">
        <w:rPr>
          <w:rFonts w:asciiTheme="majorBidi" w:hAnsiTheme="majorBidi" w:cstheme="majorBidi"/>
          <w:b/>
          <w:bCs/>
          <w:sz w:val="24"/>
          <w:szCs w:val="24"/>
        </w:rPr>
        <w:t xml:space="preserve">, Mehdi </w:t>
      </w:r>
      <w:proofErr w:type="spellStart"/>
      <w:r w:rsidRPr="00747A16">
        <w:rPr>
          <w:rFonts w:asciiTheme="majorBidi" w:hAnsiTheme="majorBidi" w:cstheme="majorBidi"/>
          <w:b/>
          <w:bCs/>
          <w:sz w:val="24"/>
          <w:szCs w:val="24"/>
        </w:rPr>
        <w:t>Jalali</w:t>
      </w:r>
      <w:proofErr w:type="spellEnd"/>
      <w:r w:rsidRPr="00747A16">
        <w:rPr>
          <w:rFonts w:asciiTheme="majorBidi" w:hAnsiTheme="majorBidi" w:cstheme="majorBidi"/>
          <w:b/>
          <w:bCs/>
          <w:sz w:val="24"/>
          <w:szCs w:val="24"/>
        </w:rPr>
        <w:t xml:space="preserve">, </w:t>
      </w:r>
      <w:proofErr w:type="spellStart"/>
      <w:r w:rsidRPr="00747A16">
        <w:rPr>
          <w:rFonts w:asciiTheme="majorBidi" w:hAnsiTheme="majorBidi" w:cstheme="majorBidi"/>
          <w:b/>
          <w:bCs/>
          <w:sz w:val="24"/>
          <w:szCs w:val="24"/>
        </w:rPr>
        <w:t>Fatemeh</w:t>
      </w:r>
      <w:proofErr w:type="spellEnd"/>
      <w:r w:rsidRPr="00747A16">
        <w:rPr>
          <w:rFonts w:asciiTheme="majorBidi" w:hAnsiTheme="majorBidi" w:cstheme="majorBidi"/>
          <w:b/>
          <w:bCs/>
          <w:sz w:val="24"/>
          <w:szCs w:val="24"/>
        </w:rPr>
        <w:t xml:space="preserve"> </w:t>
      </w:r>
      <w:proofErr w:type="spellStart"/>
      <w:r w:rsidRPr="00747A16">
        <w:rPr>
          <w:rFonts w:asciiTheme="majorBidi" w:hAnsiTheme="majorBidi" w:cstheme="majorBidi"/>
          <w:b/>
          <w:bCs/>
          <w:sz w:val="24"/>
          <w:szCs w:val="24"/>
        </w:rPr>
        <w:t>Rahimi</w:t>
      </w:r>
      <w:proofErr w:type="spellEnd"/>
      <w:r w:rsidRPr="00747A16">
        <w:rPr>
          <w:rFonts w:asciiTheme="majorBidi" w:hAnsiTheme="majorBidi" w:cstheme="majorBidi"/>
          <w:b/>
          <w:bCs/>
          <w:sz w:val="24"/>
          <w:szCs w:val="24"/>
        </w:rPr>
        <w:t xml:space="preserve"> </w:t>
      </w:r>
      <w:proofErr w:type="spellStart"/>
      <w:r w:rsidRPr="00747A16">
        <w:rPr>
          <w:rFonts w:asciiTheme="majorBidi" w:hAnsiTheme="majorBidi" w:cstheme="majorBidi"/>
          <w:b/>
          <w:bCs/>
          <w:sz w:val="24"/>
          <w:szCs w:val="24"/>
        </w:rPr>
        <w:t>Anbarkeh</w:t>
      </w:r>
      <w:proofErr w:type="spellEnd"/>
      <w:r w:rsidRPr="00747A16">
        <w:rPr>
          <w:rFonts w:asciiTheme="majorBidi" w:hAnsiTheme="majorBidi" w:cstheme="majorBidi"/>
          <w:b/>
          <w:bCs/>
          <w:sz w:val="24"/>
          <w:szCs w:val="24"/>
        </w:rPr>
        <w:t xml:space="preserve"> </w:t>
      </w:r>
    </w:p>
    <w:p w:rsidR="00EA2E3B" w:rsidRPr="007517CD" w:rsidRDefault="00EA2E3B" w:rsidP="008B236E">
      <w:pPr>
        <w:tabs>
          <w:tab w:val="left" w:pos="3330"/>
          <w:tab w:val="left" w:pos="20070"/>
        </w:tabs>
        <w:spacing w:line="360" w:lineRule="auto"/>
        <w:ind w:right="-90"/>
        <w:jc w:val="both"/>
        <w:rPr>
          <w:rFonts w:asciiTheme="majorBidi" w:hAnsiTheme="majorBidi" w:cstheme="majorBidi"/>
          <w:b/>
          <w:bCs/>
        </w:rPr>
      </w:pPr>
      <w:r w:rsidRPr="007517CD">
        <w:rPr>
          <w:rFonts w:asciiTheme="majorBidi" w:hAnsiTheme="majorBidi" w:cstheme="majorBidi"/>
          <w:b/>
          <w:bCs/>
        </w:rPr>
        <w:t>Department of Anatomy and cell biology, Mashhad University of Medical Sciences, Mashhad, Iran.</w:t>
      </w:r>
    </w:p>
    <w:p w:rsidR="002417AF" w:rsidRPr="002417AF" w:rsidRDefault="002417AF" w:rsidP="008B236E">
      <w:pPr>
        <w:pStyle w:val="Default"/>
        <w:tabs>
          <w:tab w:val="left" w:pos="3330"/>
        </w:tabs>
        <w:spacing w:line="360" w:lineRule="auto"/>
        <w:ind w:right="-90"/>
        <w:jc w:val="both"/>
        <w:rPr>
          <w:rFonts w:asciiTheme="majorBidi" w:hAnsiTheme="majorBidi" w:cstheme="majorBidi"/>
          <w:sz w:val="23"/>
          <w:szCs w:val="23"/>
        </w:rPr>
      </w:pPr>
      <w:r w:rsidRPr="002417AF">
        <w:rPr>
          <w:rFonts w:asciiTheme="majorBidi" w:hAnsiTheme="majorBidi" w:cstheme="majorBidi"/>
          <w:b/>
          <w:bCs/>
          <w:sz w:val="23"/>
          <w:szCs w:val="23"/>
        </w:rPr>
        <w:t xml:space="preserve">Background: </w:t>
      </w:r>
      <w:r w:rsidRPr="002417AF">
        <w:rPr>
          <w:rFonts w:asciiTheme="majorBidi" w:hAnsiTheme="majorBidi" w:cstheme="majorBidi"/>
          <w:sz w:val="23"/>
          <w:szCs w:val="23"/>
        </w:rPr>
        <w:t xml:space="preserve">Evidence shows that chemical fertilizers used in agriculture have high levels of nitrate. These agricultural products consumed by livestock are the most important source of nitrate. The contamination of surface and underground water with nitrate in some agricultural and urban areas has turned into a considerable environmental problem. Type-IV collagen is found primarily in the base membrane and is significantly vital for the performance of this membrane in the kidney. </w:t>
      </w:r>
    </w:p>
    <w:p w:rsidR="002417AF" w:rsidRPr="002417AF" w:rsidRDefault="002417AF" w:rsidP="008B236E">
      <w:pPr>
        <w:pStyle w:val="Default"/>
        <w:tabs>
          <w:tab w:val="left" w:pos="3330"/>
        </w:tabs>
        <w:spacing w:line="360" w:lineRule="auto"/>
        <w:ind w:right="-90"/>
        <w:jc w:val="both"/>
        <w:rPr>
          <w:rFonts w:asciiTheme="majorBidi" w:hAnsiTheme="majorBidi" w:cstheme="majorBidi"/>
          <w:sz w:val="23"/>
          <w:szCs w:val="23"/>
        </w:rPr>
      </w:pPr>
      <w:r w:rsidRPr="002417AF">
        <w:rPr>
          <w:rFonts w:asciiTheme="majorBidi" w:hAnsiTheme="majorBidi" w:cstheme="majorBidi"/>
          <w:b/>
          <w:bCs/>
          <w:sz w:val="23"/>
          <w:szCs w:val="23"/>
        </w:rPr>
        <w:t xml:space="preserve">Objectives: </w:t>
      </w:r>
      <w:r w:rsidRPr="002417AF">
        <w:rPr>
          <w:rFonts w:asciiTheme="majorBidi" w:hAnsiTheme="majorBidi" w:cstheme="majorBidi"/>
          <w:sz w:val="23"/>
          <w:szCs w:val="23"/>
        </w:rPr>
        <w:t xml:space="preserve">Effect of nitrate and vitamin C on the expression of type-IV collagen in rat kidneys </w:t>
      </w:r>
    </w:p>
    <w:p w:rsidR="002417AF" w:rsidRPr="002417AF" w:rsidRDefault="002417AF" w:rsidP="008B236E">
      <w:pPr>
        <w:pStyle w:val="Default"/>
        <w:tabs>
          <w:tab w:val="left" w:pos="3330"/>
        </w:tabs>
        <w:spacing w:line="360" w:lineRule="auto"/>
        <w:ind w:right="-90"/>
        <w:jc w:val="both"/>
        <w:rPr>
          <w:rFonts w:asciiTheme="majorBidi" w:hAnsiTheme="majorBidi" w:cstheme="majorBidi"/>
          <w:sz w:val="23"/>
          <w:szCs w:val="23"/>
        </w:rPr>
      </w:pPr>
      <w:r w:rsidRPr="002417AF">
        <w:rPr>
          <w:rFonts w:asciiTheme="majorBidi" w:hAnsiTheme="majorBidi" w:cstheme="majorBidi"/>
          <w:b/>
          <w:bCs/>
          <w:sz w:val="23"/>
          <w:szCs w:val="23"/>
        </w:rPr>
        <w:t xml:space="preserve">Materials and Methods: </w:t>
      </w:r>
      <w:r w:rsidRPr="002417AF">
        <w:rPr>
          <w:rFonts w:asciiTheme="majorBidi" w:hAnsiTheme="majorBidi" w:cstheme="majorBidi"/>
          <w:sz w:val="23"/>
          <w:szCs w:val="23"/>
        </w:rPr>
        <w:t xml:space="preserve">This empirical research was conducted on </w:t>
      </w:r>
      <w:proofErr w:type="spellStart"/>
      <w:r w:rsidRPr="002417AF">
        <w:rPr>
          <w:rFonts w:asciiTheme="majorBidi" w:hAnsiTheme="majorBidi" w:cstheme="majorBidi"/>
          <w:sz w:val="23"/>
          <w:szCs w:val="23"/>
        </w:rPr>
        <w:t>Wistar</w:t>
      </w:r>
      <w:proofErr w:type="spellEnd"/>
      <w:r w:rsidRPr="002417AF">
        <w:rPr>
          <w:rFonts w:asciiTheme="majorBidi" w:hAnsiTheme="majorBidi" w:cstheme="majorBidi"/>
          <w:sz w:val="23"/>
          <w:szCs w:val="23"/>
        </w:rPr>
        <w:t xml:space="preserve"> rats during 2017-2018. Samples were randomly divided into seven groups: 1) no nitrate (control), 2) nitrate at 10 mg/L distilled water, 3) nitrate at 45 mg/L distilled water, 4) nitrate at 200 mg/L distilled water, 5) nitrate (10 mg/L) + vitamin C (20 mg per 100 g of body weight), 6) nitrate (45 mg/L) + vitamin C (similar amount), and 7) nitrate (200 mg/L) + vitamin C (similar amount). After 91 days, the content of type-IV collagen in the kidney tissue was determined using the immunohistochemistry protocol (IHC). </w:t>
      </w:r>
    </w:p>
    <w:p w:rsidR="002417AF" w:rsidRPr="002417AF" w:rsidRDefault="002417AF" w:rsidP="008B236E">
      <w:pPr>
        <w:pStyle w:val="Default"/>
        <w:tabs>
          <w:tab w:val="left" w:pos="3330"/>
        </w:tabs>
        <w:spacing w:line="360" w:lineRule="auto"/>
        <w:ind w:right="-90"/>
        <w:jc w:val="both"/>
        <w:rPr>
          <w:rFonts w:asciiTheme="majorBidi" w:hAnsiTheme="majorBidi" w:cstheme="majorBidi"/>
          <w:sz w:val="23"/>
          <w:szCs w:val="23"/>
        </w:rPr>
      </w:pPr>
      <w:r w:rsidRPr="002417AF">
        <w:rPr>
          <w:rFonts w:asciiTheme="majorBidi" w:hAnsiTheme="majorBidi" w:cstheme="majorBidi"/>
          <w:b/>
          <w:bCs/>
          <w:sz w:val="23"/>
          <w:szCs w:val="23"/>
        </w:rPr>
        <w:t xml:space="preserve">Results: </w:t>
      </w:r>
      <w:r w:rsidRPr="002417AF">
        <w:rPr>
          <w:rFonts w:asciiTheme="majorBidi" w:hAnsiTheme="majorBidi" w:cstheme="majorBidi"/>
          <w:sz w:val="23"/>
          <w:szCs w:val="23"/>
        </w:rPr>
        <w:t xml:space="preserve">The severity of the response to anti-type-IV collagen antibody in the renal tissue was not similar. Although there was no significant difference among groups 1-3 (P&gt;0.05), there was a significant reduction in the content of type-IV collagen in group 4, compared to the control group (P=0.000). In terms of vitamin C consumption, groups five and six did not differ significantly from the control group (P&gt;0.05). Nonetheless, the severity of response to anti-type IV collagen antibody significantly increased in group seven, compared to group four (P&lt;0.05). </w:t>
      </w:r>
    </w:p>
    <w:p w:rsidR="002417AF" w:rsidRPr="002417AF" w:rsidRDefault="002417AF" w:rsidP="008B236E">
      <w:pPr>
        <w:pStyle w:val="Default"/>
        <w:tabs>
          <w:tab w:val="left" w:pos="3330"/>
        </w:tabs>
        <w:spacing w:line="360" w:lineRule="auto"/>
        <w:ind w:right="-90"/>
        <w:jc w:val="both"/>
        <w:rPr>
          <w:rFonts w:asciiTheme="majorBidi" w:hAnsiTheme="majorBidi" w:cstheme="majorBidi"/>
          <w:sz w:val="23"/>
          <w:szCs w:val="23"/>
        </w:rPr>
      </w:pPr>
      <w:r w:rsidRPr="002417AF">
        <w:rPr>
          <w:rFonts w:asciiTheme="majorBidi" w:hAnsiTheme="majorBidi" w:cstheme="majorBidi"/>
          <w:b/>
          <w:bCs/>
          <w:sz w:val="23"/>
          <w:szCs w:val="23"/>
        </w:rPr>
        <w:t xml:space="preserve">Conclusion: </w:t>
      </w:r>
      <w:r w:rsidRPr="002417AF">
        <w:rPr>
          <w:rFonts w:asciiTheme="majorBidi" w:hAnsiTheme="majorBidi" w:cstheme="majorBidi"/>
          <w:sz w:val="23"/>
          <w:szCs w:val="23"/>
        </w:rPr>
        <w:t xml:space="preserve">The dose of nitrate in drinking water (up to 45 mg/L) had no significant effect on the content of type-IV collagen. On the other hand, the excessive concentrations of nitrate limited the distribution of collagen IV and led to potential side effects on the glomerular base membrane. This issue disrupted the functions of glomerular base membrane and resulted in chronic kidney disease. Moreover, vitamin C had no significant effect on nitrate dose of 10 mg/L and 45 mg/L. Nevertheless, it improved the destructive effects of type-IV collagen on kidney at nitrate dose of 200 mg/L. </w:t>
      </w:r>
    </w:p>
    <w:p w:rsidR="00BA3D1C" w:rsidRPr="002417AF" w:rsidRDefault="002417AF" w:rsidP="008B236E">
      <w:pPr>
        <w:tabs>
          <w:tab w:val="left" w:pos="3330"/>
        </w:tabs>
        <w:spacing w:line="360" w:lineRule="auto"/>
        <w:ind w:right="-90"/>
        <w:jc w:val="both"/>
        <w:rPr>
          <w:rFonts w:asciiTheme="majorBidi" w:hAnsiTheme="majorBidi" w:cstheme="majorBidi"/>
        </w:rPr>
      </w:pPr>
      <w:r w:rsidRPr="002417AF">
        <w:rPr>
          <w:rFonts w:asciiTheme="majorBidi" w:hAnsiTheme="majorBidi" w:cstheme="majorBidi"/>
          <w:b/>
          <w:bCs/>
          <w:sz w:val="23"/>
          <w:szCs w:val="23"/>
        </w:rPr>
        <w:t xml:space="preserve">Keywords: </w:t>
      </w:r>
      <w:r w:rsidRPr="002417AF">
        <w:rPr>
          <w:rFonts w:asciiTheme="majorBidi" w:hAnsiTheme="majorBidi" w:cstheme="majorBidi"/>
          <w:sz w:val="23"/>
          <w:szCs w:val="23"/>
        </w:rPr>
        <w:t xml:space="preserve">Nitrate, Drinking water, Type-IV collagen, Kidney, Ascorbic acid, Rat </w:t>
      </w:r>
    </w:p>
    <w:sectPr w:rsidR="00BA3D1C" w:rsidRPr="002417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7AF"/>
    <w:rsid w:val="000B1089"/>
    <w:rsid w:val="002417AF"/>
    <w:rsid w:val="00747A16"/>
    <w:rsid w:val="008B236E"/>
    <w:rsid w:val="00B767A8"/>
    <w:rsid w:val="00BA3D1C"/>
    <w:rsid w:val="00EA2E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4B71B6-599B-43EF-A2D4-B42DD78C9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2E3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17A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R-Nikravesh</dc:creator>
  <cp:keywords/>
  <dc:description/>
  <cp:lastModifiedBy>R-Nikravesh</cp:lastModifiedBy>
  <cp:revision>5</cp:revision>
  <dcterms:created xsi:type="dcterms:W3CDTF">2019-04-14T16:16:00Z</dcterms:created>
  <dcterms:modified xsi:type="dcterms:W3CDTF">2020-01-03T20:17:00Z</dcterms:modified>
</cp:coreProperties>
</file>