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8A7" w:rsidRPr="00C45A81" w:rsidRDefault="003B28A7" w:rsidP="003E07B6">
      <w:pPr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241CC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Frequency of B IL-10</w:t>
      </w:r>
      <w:r w:rsidRPr="00241CC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vertAlign w:val="superscript"/>
        </w:rPr>
        <w:t>+</w:t>
      </w:r>
      <w:r w:rsidRPr="00241CC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CD19</w:t>
      </w:r>
      <w:r w:rsidRPr="00241CC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vertAlign w:val="superscript"/>
        </w:rPr>
        <w:t>+</w:t>
      </w:r>
      <w:r w:rsidRPr="00241CC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cells in patients with prostate cancer</w:t>
      </w:r>
      <w:r w:rsidR="003E07B6" w:rsidRPr="00C45A8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241CC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compare</w:t>
      </w:r>
      <w:r w:rsidR="00170B7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d</w:t>
      </w:r>
      <w:r w:rsidRPr="00241CC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to patients with benign prostatic hyperplasia</w:t>
      </w:r>
      <w:r w:rsidR="00C45A8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.</w:t>
      </w:r>
    </w:p>
    <w:p w:rsidR="003B28A7" w:rsidRPr="00241CC2" w:rsidRDefault="003B28A7" w:rsidP="003B28A7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B28A7" w:rsidRDefault="00F9054A" w:rsidP="00874600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Amirsaman K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ei</w:t>
      </w:r>
      <w:r w:rsidR="003B28A7" w:rsidRPr="003B28A7">
        <w:rPr>
          <w:rFonts w:ascii="Times New Roman" w:eastAsia="Times New Roman" w:hAnsi="Times New Roman" w:cs="Times New Roman"/>
          <w:color w:val="000000"/>
          <w:sz w:val="24"/>
          <w:szCs w:val="24"/>
        </w:rPr>
        <w:t>khosrokiani</w:t>
      </w:r>
      <w:r w:rsidR="003B28A7" w:rsidRPr="003B28A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a</w:t>
      </w:r>
      <w:r w:rsidR="003B28A7" w:rsidRPr="003B28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3B28A7" w:rsidRPr="00241CC2">
        <w:rPr>
          <w:rFonts w:ascii="Times New Roman" w:eastAsia="Times New Roman" w:hAnsi="Times New Roman" w:cs="Times New Roman"/>
          <w:color w:val="000000"/>
          <w:sz w:val="24"/>
          <w:szCs w:val="24"/>
        </w:rPr>
        <w:t>Roya Nazmabadi</w:t>
      </w:r>
      <w:r w:rsidR="003B28A7" w:rsidRPr="003B28A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a</w:t>
      </w:r>
      <w:r w:rsidR="003B28A7" w:rsidRPr="00241CC2">
        <w:rPr>
          <w:rFonts w:ascii="Times New Roman" w:eastAsia="Times New Roman" w:hAnsi="Times New Roman" w:cs="Times New Roman"/>
          <w:color w:val="000000"/>
          <w:sz w:val="24"/>
          <w:szCs w:val="24"/>
        </w:rPr>
        <w:t>, Fatemeh Taheri</w:t>
      </w:r>
      <w:r w:rsidR="00874600" w:rsidRPr="0087460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b</w:t>
      </w:r>
      <w:r w:rsidR="003B28A7" w:rsidRPr="00241CC2">
        <w:rPr>
          <w:rFonts w:ascii="Times New Roman" w:eastAsia="Times New Roman" w:hAnsi="Times New Roman" w:cs="Times New Roman"/>
          <w:color w:val="000000"/>
          <w:sz w:val="24"/>
          <w:szCs w:val="24"/>
        </w:rPr>
        <w:t>, Faramarz Mohammad-Alibeigi</w:t>
      </w:r>
      <w:r w:rsidR="0087460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c</w:t>
      </w:r>
      <w:r w:rsidR="003B28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B28A7" w:rsidRPr="00241CC2">
        <w:rPr>
          <w:rFonts w:ascii="Times New Roman" w:eastAsia="Times New Roman" w:hAnsi="Times New Roman" w:cs="Times New Roman"/>
          <w:color w:val="000000"/>
          <w:sz w:val="24"/>
          <w:szCs w:val="24"/>
        </w:rPr>
        <w:t>, Milad</w:t>
      </w:r>
      <w:r w:rsidR="003B28A7" w:rsidRPr="003B28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B28A7" w:rsidRPr="00241CC2">
        <w:rPr>
          <w:rFonts w:ascii="Times New Roman" w:eastAsia="Times New Roman" w:hAnsi="Times New Roman" w:cs="Times New Roman"/>
          <w:color w:val="000000"/>
          <w:sz w:val="24"/>
          <w:szCs w:val="24"/>
        </w:rPr>
        <w:t>Sabzevary-Ghahfarokhi</w:t>
      </w:r>
      <w:r w:rsidR="00CC0BB8" w:rsidRPr="00CC0BB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a</w:t>
      </w:r>
      <w:r w:rsidR="003B28A7" w:rsidRPr="00241CC2">
        <w:rPr>
          <w:rFonts w:ascii="Times New Roman" w:eastAsia="Times New Roman" w:hAnsi="Times New Roman" w:cs="Times New Roman"/>
          <w:color w:val="000000"/>
          <w:sz w:val="24"/>
          <w:szCs w:val="24"/>
        </w:rPr>
        <w:t>, Mohammad-Javad Sanai</w:t>
      </w:r>
      <w:r w:rsidR="00CC0BB8" w:rsidRPr="00CC0BB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a</w:t>
      </w:r>
      <w:r w:rsidR="003B28A7" w:rsidRPr="00241CC2">
        <w:rPr>
          <w:rFonts w:ascii="Times New Roman" w:eastAsia="Times New Roman" w:hAnsi="Times New Roman" w:cs="Times New Roman"/>
          <w:color w:val="000000"/>
          <w:sz w:val="24"/>
          <w:szCs w:val="24"/>
        </w:rPr>
        <w:t>, Nader Bagheri</w:t>
      </w:r>
      <w:r w:rsidR="00CC0BB8" w:rsidRPr="00CC0BB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a</w:t>
      </w:r>
      <w:r w:rsidR="003B28A7" w:rsidRPr="00241CC2">
        <w:rPr>
          <w:rFonts w:ascii="Times New Roman" w:eastAsia="Times New Roman" w:hAnsi="Times New Roman" w:cs="Times New Roman"/>
          <w:color w:val="000000"/>
          <w:sz w:val="24"/>
          <w:szCs w:val="24"/>
        </w:rPr>
        <w:t>*</w:t>
      </w:r>
    </w:p>
    <w:p w:rsidR="00874600" w:rsidRPr="00241CC2" w:rsidRDefault="00874600" w:rsidP="00874600">
      <w:pPr>
        <w:bidi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11659" w:rsidRPr="00293BD3" w:rsidRDefault="00511659" w:rsidP="00511659">
      <w:pPr>
        <w:pStyle w:val="Autoren"/>
        <w:rPr>
          <w:rStyle w:val="hps"/>
          <w:sz w:val="22"/>
          <w:szCs w:val="22"/>
          <w:cs/>
        </w:rPr>
      </w:pPr>
      <w:r w:rsidRPr="00293BD3">
        <w:rPr>
          <w:rStyle w:val="hps"/>
          <w:rFonts w:asciiTheme="majorBidi" w:hAnsiTheme="majorBidi" w:cstheme="majorBidi"/>
          <w:color w:val="000000" w:themeColor="text1"/>
          <w:sz w:val="22"/>
          <w:szCs w:val="22"/>
          <w:vertAlign w:val="superscript"/>
        </w:rPr>
        <w:t>a</w:t>
      </w:r>
      <w:r w:rsidR="00293BD3">
        <w:rPr>
          <w:rStyle w:val="hps"/>
          <w:rFonts w:asciiTheme="majorBidi" w:hAnsiTheme="majorBidi" w:cstheme="majorBidi"/>
          <w:color w:val="000000" w:themeColor="text1"/>
          <w:sz w:val="22"/>
          <w:szCs w:val="22"/>
          <w:vertAlign w:val="superscript"/>
        </w:rPr>
        <w:t xml:space="preserve"> </w:t>
      </w:r>
      <w:r w:rsidRPr="00293BD3">
        <w:rPr>
          <w:rStyle w:val="hps"/>
          <w:rFonts w:asciiTheme="majorBidi" w:hAnsiTheme="majorBidi" w:cstheme="majorBidi"/>
          <w:color w:val="000000" w:themeColor="text1"/>
          <w:sz w:val="22"/>
          <w:szCs w:val="22"/>
        </w:rPr>
        <w:t>Cellular and Molecular Research Center</w:t>
      </w:r>
      <w:r w:rsidRPr="00293BD3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, </w:t>
      </w:r>
      <w:r w:rsidRPr="00293BD3">
        <w:rPr>
          <w:rStyle w:val="hps"/>
          <w:rFonts w:asciiTheme="majorBidi" w:hAnsiTheme="majorBidi" w:cstheme="majorBidi"/>
          <w:color w:val="000000" w:themeColor="text1"/>
          <w:sz w:val="22"/>
          <w:szCs w:val="22"/>
        </w:rPr>
        <w:t xml:space="preserve">Basic Health Sciences Institute, Shahrekord University of Medical Sciences, Shahrekord, Iran </w:t>
      </w:r>
    </w:p>
    <w:p w:rsidR="00511659" w:rsidRPr="00293BD3" w:rsidRDefault="00511659" w:rsidP="00511659">
      <w:pPr>
        <w:pStyle w:val="Autoren"/>
        <w:rPr>
          <w:rStyle w:val="hps"/>
          <w:rFonts w:asciiTheme="majorBidi" w:hAnsiTheme="majorBidi" w:cstheme="majorBidi"/>
          <w:color w:val="000000" w:themeColor="text1"/>
          <w:sz w:val="22"/>
          <w:szCs w:val="22"/>
          <w:vertAlign w:val="superscript"/>
        </w:rPr>
      </w:pPr>
      <w:r w:rsidRPr="00293BD3">
        <w:rPr>
          <w:rStyle w:val="hps"/>
          <w:rFonts w:asciiTheme="majorBidi" w:hAnsiTheme="majorBidi" w:cstheme="majorBidi"/>
          <w:color w:val="000000" w:themeColor="text1"/>
          <w:sz w:val="22"/>
          <w:szCs w:val="22"/>
          <w:vertAlign w:val="superscript"/>
        </w:rPr>
        <w:t xml:space="preserve">b </w:t>
      </w:r>
      <w:r w:rsidRPr="00293BD3">
        <w:rPr>
          <w:rStyle w:val="hps"/>
          <w:rFonts w:asciiTheme="majorBidi" w:hAnsiTheme="majorBidi" w:cstheme="majorBidi"/>
          <w:color w:val="000000" w:themeColor="text1"/>
          <w:sz w:val="22"/>
          <w:szCs w:val="22"/>
        </w:rPr>
        <w:t>Department of Pathology, Shahrekord University of Medical Sciences, Shahrekord, Iran</w:t>
      </w:r>
    </w:p>
    <w:p w:rsidR="00511659" w:rsidRPr="00293BD3" w:rsidRDefault="00511659" w:rsidP="00511659">
      <w:pPr>
        <w:pStyle w:val="Autoren"/>
        <w:rPr>
          <w:rStyle w:val="hps"/>
          <w:rFonts w:asciiTheme="majorBidi" w:hAnsiTheme="majorBidi" w:cstheme="majorBidi"/>
          <w:color w:val="000000" w:themeColor="text1"/>
          <w:sz w:val="22"/>
          <w:szCs w:val="22"/>
          <w:vertAlign w:val="superscript"/>
        </w:rPr>
      </w:pPr>
      <w:r w:rsidRPr="00293BD3">
        <w:rPr>
          <w:rStyle w:val="hps"/>
          <w:rFonts w:asciiTheme="majorBidi" w:hAnsiTheme="majorBidi" w:cstheme="majorBidi"/>
          <w:color w:val="000000" w:themeColor="text1"/>
          <w:sz w:val="22"/>
          <w:szCs w:val="22"/>
          <w:vertAlign w:val="superscript"/>
        </w:rPr>
        <w:t xml:space="preserve">c </w:t>
      </w:r>
      <w:r w:rsidRPr="00293BD3">
        <w:rPr>
          <w:rStyle w:val="hps"/>
          <w:color w:val="000000" w:themeColor="text1"/>
          <w:sz w:val="22"/>
          <w:szCs w:val="22"/>
        </w:rPr>
        <w:t>Department of Urology, Shahrekord University of Medical Sciences, Shahrekord, Iran</w:t>
      </w:r>
    </w:p>
    <w:p w:rsidR="00511659" w:rsidRPr="00293BD3" w:rsidRDefault="00511659" w:rsidP="00511659">
      <w:pPr>
        <w:pStyle w:val="Autoren"/>
        <w:rPr>
          <w:rStyle w:val="hps"/>
          <w:rFonts w:asciiTheme="majorBidi" w:hAnsiTheme="majorBidi" w:cstheme="majorBidi"/>
          <w:sz w:val="22"/>
          <w:szCs w:val="22"/>
        </w:rPr>
      </w:pPr>
      <w:r w:rsidRPr="00293BD3">
        <w:rPr>
          <w:rFonts w:asciiTheme="majorBidi" w:hAnsiTheme="majorBidi" w:cstheme="majorBidi"/>
          <w:color w:val="000000" w:themeColor="text1"/>
          <w:sz w:val="22"/>
          <w:szCs w:val="22"/>
        </w:rPr>
        <w:t>*</w:t>
      </w:r>
      <w:r w:rsidRPr="00293BD3">
        <w:rPr>
          <w:b/>
          <w:bCs/>
          <w:color w:val="000000" w:themeColor="text1"/>
          <w:sz w:val="22"/>
          <w:szCs w:val="22"/>
        </w:rPr>
        <w:t>Corresponding author</w:t>
      </w:r>
      <w:r w:rsidRPr="00293BD3">
        <w:rPr>
          <w:color w:val="000000" w:themeColor="text1"/>
          <w:sz w:val="22"/>
          <w:szCs w:val="22"/>
        </w:rPr>
        <w:t xml:space="preserve">: </w:t>
      </w:r>
      <w:r w:rsidRPr="00293BD3">
        <w:rPr>
          <w:rStyle w:val="hps"/>
          <w:rFonts w:asciiTheme="majorBidi" w:hAnsiTheme="majorBidi" w:cstheme="majorBidi"/>
          <w:sz w:val="22"/>
          <w:szCs w:val="22"/>
        </w:rPr>
        <w:t>Cellular and Molecular Research Center</w:t>
      </w:r>
      <w:r w:rsidRPr="00293BD3">
        <w:rPr>
          <w:rStyle w:val="hps"/>
          <w:sz w:val="22"/>
          <w:szCs w:val="22"/>
        </w:rPr>
        <w:t xml:space="preserve">, </w:t>
      </w:r>
      <w:r w:rsidRPr="00293BD3">
        <w:rPr>
          <w:rStyle w:val="hps"/>
          <w:rFonts w:asciiTheme="majorBidi" w:hAnsiTheme="majorBidi" w:cstheme="majorBidi"/>
          <w:sz w:val="22"/>
          <w:szCs w:val="22"/>
        </w:rPr>
        <w:t>Basic Health Sciences Institute, Shahrekord University of Medical Sciences, Shahrekord, Iran Tel.: +98 918 173 1073</w:t>
      </w:r>
    </w:p>
    <w:p w:rsidR="00511659" w:rsidRPr="00293BD3" w:rsidRDefault="00511659" w:rsidP="00511659">
      <w:pPr>
        <w:pStyle w:val="Autoren"/>
        <w:rPr>
          <w:rStyle w:val="hps"/>
          <w:rFonts w:asciiTheme="majorBidi" w:hAnsiTheme="majorBidi" w:cstheme="majorBidi"/>
          <w:sz w:val="22"/>
          <w:szCs w:val="22"/>
        </w:rPr>
      </w:pPr>
      <w:r w:rsidRPr="00293BD3">
        <w:rPr>
          <w:rStyle w:val="hps"/>
          <w:rFonts w:asciiTheme="majorBidi" w:hAnsiTheme="majorBidi" w:cstheme="majorBidi"/>
          <w:sz w:val="22"/>
          <w:szCs w:val="22"/>
        </w:rPr>
        <w:t>E-mail addresses: n.bagheri1985@gmail.com</w:t>
      </w:r>
    </w:p>
    <w:p w:rsidR="003B28A7" w:rsidRDefault="003B28A7" w:rsidP="003B28A7">
      <w:pPr>
        <w:bidi w:val="0"/>
        <w:spacing w:line="360" w:lineRule="auto"/>
        <w:jc w:val="both"/>
        <w:rPr>
          <w:rFonts w:ascii="Times New Roman" w:hAnsi="Times New Roman" w:cs="B Lotus"/>
          <w:b/>
          <w:bCs/>
          <w:sz w:val="24"/>
          <w:szCs w:val="24"/>
        </w:rPr>
      </w:pPr>
    </w:p>
    <w:p w:rsidR="00170B75" w:rsidRPr="00170B75" w:rsidRDefault="00170B75" w:rsidP="00170B75">
      <w:pPr>
        <w:bidi w:val="0"/>
        <w:spacing w:line="360" w:lineRule="auto"/>
        <w:jc w:val="both"/>
        <w:rPr>
          <w:rFonts w:ascii="Times New Roman" w:hAnsi="Times New Roman" w:cs="B Lotus"/>
          <w:b/>
          <w:bCs/>
          <w:sz w:val="24"/>
          <w:szCs w:val="24"/>
        </w:rPr>
      </w:pPr>
      <w:r w:rsidRPr="00170B75">
        <w:rPr>
          <w:rFonts w:ascii="Times New Roman" w:hAnsi="Times New Roman" w:cs="B Lotus"/>
          <w:b/>
          <w:bCs/>
          <w:sz w:val="24"/>
          <w:szCs w:val="24"/>
        </w:rPr>
        <w:t>Abstract</w:t>
      </w:r>
    </w:p>
    <w:p w:rsidR="00DD45B1" w:rsidRDefault="00DD45B1" w:rsidP="003B28A7">
      <w:pPr>
        <w:bidi w:val="0"/>
        <w:spacing w:line="360" w:lineRule="auto"/>
        <w:jc w:val="both"/>
        <w:rPr>
          <w:rFonts w:ascii="Times New Roman" w:hAnsi="Times New Roman" w:cs="B Lotus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function of immune system in prostate cancer (PC) might promote carcinogenesis. PC is a common cancer in men.</w:t>
      </w:r>
      <w:r>
        <w:rPr>
          <w:sz w:val="16"/>
          <w:szCs w:val="16"/>
        </w:rPr>
        <w:t xml:space="preserve"> </w:t>
      </w:r>
      <w:r>
        <w:rPr>
          <w:rFonts w:ascii="Times New Roman" w:hAnsi="Times New Roman" w:cs="B Lotus"/>
          <w:i/>
          <w:sz w:val="24"/>
          <w:szCs w:val="24"/>
        </w:rPr>
        <w:t xml:space="preserve"> </w:t>
      </w:r>
      <w:r>
        <w:rPr>
          <w:rFonts w:ascii="Times New Roman" w:hAnsi="Times New Roman" w:cs="B Lotus"/>
          <w:sz w:val="24"/>
          <w:szCs w:val="24"/>
        </w:rPr>
        <w:t xml:space="preserve">Regulatory B cells (Bregs) are new subtype of B cells that have suppressive roles in immune system. Interleukin-10 (IL-10) is a dominant mediator of immune suppression released by Bregs. </w:t>
      </w:r>
      <w:r>
        <w:rPr>
          <w:rFonts w:ascii="Times New Roman" w:hAnsi="Times New Roman" w:cs="Times New Roman"/>
          <w:sz w:val="24"/>
          <w:szCs w:val="24"/>
        </w:rPr>
        <w:t>The purpose of this research was to examine the frequency of CD19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>IL10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B cells and IL-10 mRNA expression in patients with PC compared to patients with </w:t>
      </w:r>
      <w:r>
        <w:rPr>
          <w:rFonts w:asciiTheme="majorBidi" w:hAnsiTheme="majorBidi" w:cstheme="majorBidi"/>
          <w:color w:val="000000"/>
          <w:sz w:val="24"/>
          <w:szCs w:val="24"/>
        </w:rPr>
        <w:t>benign prostatic hyperplasia (BPH)</w:t>
      </w:r>
      <w:r>
        <w:rPr>
          <w:rFonts w:ascii="Times New Roman" w:hAnsi="Times New Roman" w:cs="B Lotus"/>
          <w:sz w:val="24"/>
          <w:szCs w:val="24"/>
        </w:rPr>
        <w:t xml:space="preserve">. </w:t>
      </w:r>
    </w:p>
    <w:p w:rsidR="00DD45B1" w:rsidRDefault="000A1CC6" w:rsidP="000A1CC6">
      <w:pPr>
        <w:bidi w:val="0"/>
        <w:spacing w:line="360" w:lineRule="auto"/>
        <w:jc w:val="both"/>
        <w:rPr>
          <w:rFonts w:ascii="Times New Roman" w:hAnsi="Times New Roman" w:cs="B Lotus"/>
          <w:sz w:val="24"/>
          <w:szCs w:val="24"/>
        </w:rPr>
      </w:pPr>
      <w:r w:rsidRPr="000A1CC6">
        <w:rPr>
          <w:rFonts w:ascii="Times New Roman" w:hAnsi="Times New Roman" w:cs="B Lotus"/>
          <w:sz w:val="24"/>
          <w:szCs w:val="24"/>
        </w:rPr>
        <w:t>In this study</w:t>
      </w:r>
      <w:r w:rsidR="00DD45B1">
        <w:rPr>
          <w:rFonts w:ascii="Times New Roman" w:hAnsi="Times New Roman" w:cs="B Lotus"/>
          <w:sz w:val="24"/>
          <w:szCs w:val="28"/>
        </w:rPr>
        <w:t xml:space="preserve"> </w:t>
      </w:r>
      <w:r w:rsidR="00DD45B1">
        <w:rPr>
          <w:rFonts w:ascii="Times New Roman" w:hAnsi="Times New Roman" w:cs="B Lotus"/>
          <w:sz w:val="24"/>
          <w:szCs w:val="24"/>
        </w:rPr>
        <w:t xml:space="preserve">40 paraffin </w:t>
      </w:r>
      <w:r>
        <w:rPr>
          <w:rFonts w:ascii="Times New Roman" w:hAnsi="Times New Roman" w:cs="B Lotus"/>
          <w:sz w:val="24"/>
          <w:szCs w:val="24"/>
        </w:rPr>
        <w:t xml:space="preserve">embedded </w:t>
      </w:r>
      <w:r w:rsidR="00DD45B1">
        <w:rPr>
          <w:rFonts w:ascii="Times New Roman" w:hAnsi="Times New Roman" w:cs="B Lotus"/>
          <w:sz w:val="24"/>
          <w:szCs w:val="24"/>
        </w:rPr>
        <w:t xml:space="preserve">tissue samples from </w:t>
      </w:r>
      <w:r w:rsidR="00DD45B1">
        <w:rPr>
          <w:rFonts w:ascii="Times New Roman" w:hAnsi="Times New Roman" w:cs="Times New Roman"/>
          <w:sz w:val="24"/>
          <w:szCs w:val="24"/>
        </w:rPr>
        <w:t xml:space="preserve">patients with </w:t>
      </w:r>
      <w:r w:rsidR="00DD45B1">
        <w:rPr>
          <w:rFonts w:ascii="Times New Roman" w:hAnsi="Times New Roman" w:cs="B Lotus"/>
          <w:sz w:val="24"/>
          <w:szCs w:val="24"/>
        </w:rPr>
        <w:t xml:space="preserve">PC and 32 paraffin </w:t>
      </w:r>
      <w:r>
        <w:rPr>
          <w:rFonts w:ascii="Times New Roman" w:hAnsi="Times New Roman" w:cs="B Lotus"/>
          <w:sz w:val="24"/>
          <w:szCs w:val="24"/>
        </w:rPr>
        <w:t xml:space="preserve">embedded </w:t>
      </w:r>
      <w:r w:rsidR="00DD45B1">
        <w:rPr>
          <w:rFonts w:ascii="Times New Roman" w:hAnsi="Times New Roman" w:cs="B Lotus"/>
          <w:sz w:val="24"/>
          <w:szCs w:val="24"/>
        </w:rPr>
        <w:t xml:space="preserve">tissue samples from </w:t>
      </w:r>
      <w:r w:rsidR="00DD45B1">
        <w:rPr>
          <w:rFonts w:ascii="Times New Roman" w:hAnsi="Times New Roman" w:cs="Times New Roman"/>
          <w:sz w:val="24"/>
          <w:szCs w:val="24"/>
        </w:rPr>
        <w:t xml:space="preserve">patients with </w:t>
      </w:r>
      <w:r w:rsidR="00DD45B1">
        <w:rPr>
          <w:rFonts w:asciiTheme="majorBidi" w:hAnsiTheme="majorBidi" w:cstheme="majorBidi"/>
          <w:color w:val="000000"/>
          <w:sz w:val="24"/>
          <w:szCs w:val="24"/>
        </w:rPr>
        <w:t>BPH</w:t>
      </w:r>
      <w:r w:rsidR="00DD45B1">
        <w:rPr>
          <w:rFonts w:ascii="Times New Roman" w:hAnsi="Times New Roman" w:cs="Times New Roman"/>
          <w:sz w:val="24"/>
          <w:szCs w:val="24"/>
        </w:rPr>
        <w:t xml:space="preserve"> were </w:t>
      </w:r>
      <w:r>
        <w:rPr>
          <w:rFonts w:ascii="Times New Roman" w:hAnsi="Times New Roman" w:cs="Times New Roman"/>
          <w:sz w:val="24"/>
          <w:szCs w:val="24"/>
        </w:rPr>
        <w:t>examined</w:t>
      </w:r>
      <w:r w:rsidR="00DD45B1">
        <w:rPr>
          <w:rFonts w:ascii="Times New Roman" w:hAnsi="Times New Roman" w:cs="B Lotus"/>
          <w:sz w:val="24"/>
          <w:szCs w:val="24"/>
        </w:rPr>
        <w:t xml:space="preserve">. The immunohistochemistry staining was used to evaluate the pattern expression of CD19 and IL-10 markers. </w:t>
      </w:r>
      <w:r w:rsidR="00DD45B1">
        <w:rPr>
          <w:rFonts w:ascii="Times New Roman" w:hAnsi="Times New Roman" w:cs="Times New Roman"/>
          <w:sz w:val="24"/>
          <w:szCs w:val="24"/>
        </w:rPr>
        <w:t xml:space="preserve">IL-10 mRNA expression in fresh tissue was determined by </w:t>
      </w:r>
      <w:r w:rsidR="00DD45B1">
        <w:rPr>
          <w:rFonts w:ascii="Times New Roman" w:hAnsi="Times New Roman" w:cs="B Lotus"/>
          <w:sz w:val="24"/>
          <w:szCs w:val="24"/>
        </w:rPr>
        <w:t>real time-polymerase chain reaction (RT-PCR).</w:t>
      </w:r>
    </w:p>
    <w:p w:rsidR="00DD45B1" w:rsidRDefault="000A1CC6" w:rsidP="000A1CC6">
      <w:pPr>
        <w:bidi w:val="0"/>
        <w:spacing w:line="360" w:lineRule="auto"/>
        <w:jc w:val="both"/>
        <w:rPr>
          <w:rFonts w:ascii="Times New Roman" w:hAnsi="Times New Roman" w:cs="B Lotus"/>
          <w:sz w:val="24"/>
          <w:szCs w:val="24"/>
        </w:rPr>
      </w:pPr>
      <w:r w:rsidRPr="000A1CC6">
        <w:rPr>
          <w:rFonts w:ascii="Times New Roman" w:hAnsi="Times New Roman" w:cs="B Lotus"/>
          <w:sz w:val="24"/>
          <w:szCs w:val="24"/>
        </w:rPr>
        <w:t xml:space="preserve">Results </w:t>
      </w:r>
      <w:r>
        <w:rPr>
          <w:rFonts w:ascii="Times New Roman" w:hAnsi="Times New Roman" w:cs="B Lotus"/>
          <w:sz w:val="24"/>
          <w:szCs w:val="28"/>
        </w:rPr>
        <w:t>showed that t</w:t>
      </w:r>
      <w:r w:rsidR="00DD45B1">
        <w:rPr>
          <w:rFonts w:ascii="Times New Roman" w:hAnsi="Times New Roman" w:cs="B Lotus"/>
          <w:sz w:val="24"/>
          <w:szCs w:val="28"/>
        </w:rPr>
        <w:t>he frequency of</w:t>
      </w:r>
      <w:r w:rsidR="00DD45B1">
        <w:rPr>
          <w:rFonts w:ascii="Times New Roman" w:eastAsia="Times New Roman" w:hAnsi="Times New Roman" w:cs="B Nazanin"/>
          <w:sz w:val="24"/>
          <w:szCs w:val="24"/>
        </w:rPr>
        <w:t xml:space="preserve"> CD19</w:t>
      </w:r>
      <w:r w:rsidR="00DD45B1">
        <w:rPr>
          <w:rFonts w:ascii="Times New Roman" w:eastAsia="Times New Roman" w:hAnsi="Times New Roman" w:cs="B Nazanin"/>
          <w:sz w:val="24"/>
          <w:szCs w:val="24"/>
          <w:vertAlign w:val="superscript"/>
        </w:rPr>
        <w:t>+</w:t>
      </w:r>
      <w:r w:rsidR="00DD45B1">
        <w:rPr>
          <w:rFonts w:ascii="Times New Roman" w:eastAsia="Times New Roman" w:hAnsi="Times New Roman" w:cs="B Nazanin"/>
          <w:sz w:val="24"/>
          <w:szCs w:val="24"/>
        </w:rPr>
        <w:t>IL-10</w:t>
      </w:r>
      <w:r w:rsidR="00DD45B1">
        <w:rPr>
          <w:rFonts w:ascii="Times New Roman" w:eastAsia="Times New Roman" w:hAnsi="Times New Roman" w:cs="B Nazanin"/>
          <w:sz w:val="24"/>
          <w:szCs w:val="24"/>
          <w:vertAlign w:val="superscript"/>
        </w:rPr>
        <w:t>+</w:t>
      </w:r>
      <w:r w:rsidR="00DD45B1">
        <w:rPr>
          <w:rFonts w:ascii="Times New Roman" w:eastAsia="Times New Roman" w:hAnsi="Times New Roman" w:cs="B Nazanin" w:hint="cs"/>
          <w:szCs w:val="28"/>
          <w:rtl/>
        </w:rPr>
        <w:t xml:space="preserve"> </w:t>
      </w:r>
      <w:r w:rsidR="00DD45B1">
        <w:rPr>
          <w:rFonts w:ascii="Times New Roman" w:eastAsia="Times New Roman" w:hAnsi="Times New Roman" w:cs="B Nazanin"/>
          <w:sz w:val="24"/>
          <w:szCs w:val="24"/>
        </w:rPr>
        <w:t xml:space="preserve">B </w:t>
      </w:r>
      <w:r w:rsidR="00DD45B1">
        <w:rPr>
          <w:rFonts w:ascii="Times New Roman" w:hAnsi="Times New Roman" w:cs="Times New Roman"/>
          <w:sz w:val="24"/>
          <w:szCs w:val="24"/>
        </w:rPr>
        <w:t>cells</w:t>
      </w:r>
      <w:r w:rsidR="00DD45B1">
        <w:rPr>
          <w:rFonts w:ascii="Times New Roman" w:eastAsia="Times New Roman" w:hAnsi="Times New Roman" w:cs="B Nazanin"/>
          <w:sz w:val="24"/>
          <w:szCs w:val="24"/>
        </w:rPr>
        <w:t xml:space="preserve"> and </w:t>
      </w:r>
      <w:r w:rsidR="00DD45B1">
        <w:rPr>
          <w:rFonts w:ascii="Times New Roman" w:hAnsi="Times New Roman" w:cs="Times New Roman"/>
          <w:sz w:val="24"/>
          <w:szCs w:val="24"/>
        </w:rPr>
        <w:t xml:space="preserve">IL-10 mRNA expression in patients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 w:rsidR="00DD45B1">
        <w:rPr>
          <w:rFonts w:ascii="Times New Roman" w:hAnsi="Times New Roman" w:cs="Times New Roman"/>
          <w:sz w:val="24"/>
          <w:szCs w:val="24"/>
        </w:rPr>
        <w:t>PC were significantly higher than patients with BPH</w:t>
      </w:r>
      <w:r w:rsidR="00DD45B1">
        <w:rPr>
          <w:rFonts w:ascii="Times New Roman" w:hAnsi="Times New Roman" w:cs="B Lotus"/>
          <w:sz w:val="24"/>
          <w:szCs w:val="28"/>
        </w:rPr>
        <w:t>. Also, there was no meaningful relationship between the frequency of IL-10</w:t>
      </w:r>
      <w:r w:rsidR="00DD45B1">
        <w:rPr>
          <w:rFonts w:ascii="Times New Roman" w:hAnsi="Times New Roman" w:cs="B Lotus"/>
          <w:sz w:val="24"/>
          <w:szCs w:val="28"/>
          <w:vertAlign w:val="superscript"/>
        </w:rPr>
        <w:t>+</w:t>
      </w:r>
      <w:r w:rsidR="00DD45B1">
        <w:rPr>
          <w:rFonts w:ascii="Times New Roman" w:hAnsi="Times New Roman" w:cs="B Lotus"/>
          <w:sz w:val="24"/>
          <w:szCs w:val="28"/>
        </w:rPr>
        <w:t>CD19</w:t>
      </w:r>
      <w:r w:rsidR="00DD45B1">
        <w:rPr>
          <w:rFonts w:ascii="Times New Roman" w:hAnsi="Times New Roman" w:cs="B Lotus"/>
          <w:sz w:val="24"/>
          <w:szCs w:val="28"/>
          <w:vertAlign w:val="superscript"/>
        </w:rPr>
        <w:t>+</w:t>
      </w:r>
      <w:r w:rsidR="00DD45B1">
        <w:rPr>
          <w:rFonts w:ascii="Times New Roman" w:hAnsi="Times New Roman" w:cs="B Lotus"/>
          <w:sz w:val="24"/>
          <w:szCs w:val="28"/>
        </w:rPr>
        <w:t xml:space="preserve"> B cells and Gleason scores in patients with PC.</w:t>
      </w:r>
      <w:r w:rsidR="00DD45B1">
        <w:rPr>
          <w:rFonts w:ascii="Times New Roman" w:hAnsi="Times New Roman" w:cs="B Lotus"/>
          <w:sz w:val="24"/>
          <w:szCs w:val="24"/>
        </w:rPr>
        <w:t xml:space="preserve"> </w:t>
      </w:r>
      <w:r>
        <w:rPr>
          <w:rFonts w:ascii="Times New Roman" w:hAnsi="Times New Roman" w:cs="B Lotus"/>
          <w:sz w:val="24"/>
          <w:szCs w:val="24"/>
        </w:rPr>
        <w:t>In conclusion o</w:t>
      </w:r>
      <w:r w:rsidR="00DD45B1">
        <w:rPr>
          <w:rFonts w:ascii="Times New Roman" w:hAnsi="Times New Roman" w:cs="B Lotus"/>
          <w:sz w:val="24"/>
          <w:szCs w:val="24"/>
        </w:rPr>
        <w:t>ur findings suggested that frequency of IL-10</w:t>
      </w:r>
      <w:r w:rsidR="00DD45B1">
        <w:rPr>
          <w:rFonts w:ascii="Times New Roman" w:hAnsi="Times New Roman" w:cs="B Lotus"/>
          <w:sz w:val="24"/>
          <w:szCs w:val="24"/>
          <w:vertAlign w:val="superscript"/>
        </w:rPr>
        <w:t>+</w:t>
      </w:r>
      <w:r w:rsidR="00DD45B1">
        <w:rPr>
          <w:rFonts w:ascii="Times New Roman" w:hAnsi="Times New Roman" w:cs="B Lotus"/>
          <w:sz w:val="24"/>
          <w:szCs w:val="24"/>
        </w:rPr>
        <w:t>CD19</w:t>
      </w:r>
      <w:r w:rsidR="00DD45B1">
        <w:rPr>
          <w:rFonts w:ascii="Times New Roman" w:hAnsi="Times New Roman" w:cs="B Lotus"/>
          <w:sz w:val="24"/>
          <w:szCs w:val="24"/>
          <w:vertAlign w:val="superscript"/>
        </w:rPr>
        <w:t>+</w:t>
      </w:r>
      <w:r w:rsidR="00DD45B1">
        <w:rPr>
          <w:rFonts w:ascii="Times New Roman" w:hAnsi="Times New Roman" w:cs="B Lotus"/>
          <w:sz w:val="24"/>
          <w:szCs w:val="24"/>
        </w:rPr>
        <w:t xml:space="preserve"> </w:t>
      </w:r>
      <w:r w:rsidR="00DD45B1">
        <w:rPr>
          <w:rFonts w:ascii="Times New Roman" w:eastAsia="Times New Roman" w:hAnsi="Times New Roman" w:cs="B Nazanin"/>
          <w:sz w:val="24"/>
          <w:szCs w:val="24"/>
        </w:rPr>
        <w:t xml:space="preserve">B </w:t>
      </w:r>
      <w:r w:rsidR="00DD45B1">
        <w:rPr>
          <w:rFonts w:ascii="Times New Roman" w:hAnsi="Times New Roman" w:cs="Times New Roman"/>
          <w:sz w:val="24"/>
          <w:szCs w:val="24"/>
        </w:rPr>
        <w:t>cells</w:t>
      </w:r>
      <w:r w:rsidR="00DD45B1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="00DD45B1">
        <w:rPr>
          <w:rFonts w:ascii="Times New Roman" w:hAnsi="Times New Roman" w:cs="B Lotus"/>
          <w:sz w:val="24"/>
          <w:szCs w:val="24"/>
        </w:rPr>
        <w:t xml:space="preserve">correlates with progressive stage of </w:t>
      </w:r>
      <w:r w:rsidR="00DD45B1">
        <w:rPr>
          <w:rFonts w:ascii="Times New Roman" w:hAnsi="Times New Roman" w:cs="B Lotus"/>
          <w:sz w:val="24"/>
          <w:szCs w:val="28"/>
        </w:rPr>
        <w:t>PC</w:t>
      </w:r>
      <w:r w:rsidR="00DD45B1">
        <w:rPr>
          <w:rFonts w:ascii="Times New Roman" w:hAnsi="Times New Roman" w:cs="B Lotus"/>
          <w:sz w:val="24"/>
          <w:szCs w:val="24"/>
        </w:rPr>
        <w:t>.</w:t>
      </w:r>
    </w:p>
    <w:p w:rsidR="005435EB" w:rsidRPr="002876D0" w:rsidRDefault="005435EB" w:rsidP="005435EB">
      <w:pPr>
        <w:bidi w:val="0"/>
        <w:spacing w:line="360" w:lineRule="auto"/>
        <w:jc w:val="both"/>
        <w:rPr>
          <w:rFonts w:ascii="Times New Roman" w:hAnsi="Times New Roman" w:cs="B Lotus"/>
          <w:i/>
          <w:iCs/>
          <w:sz w:val="24"/>
          <w:szCs w:val="24"/>
        </w:rPr>
      </w:pPr>
      <w:r w:rsidRPr="002876D0">
        <w:rPr>
          <w:rFonts w:ascii="Times New Roman" w:hAnsi="Times New Roman" w:cs="B Lotus"/>
          <w:i/>
          <w:iCs/>
          <w:sz w:val="24"/>
          <w:szCs w:val="24"/>
        </w:rPr>
        <w:t>Keyword:</w:t>
      </w:r>
      <w:r w:rsidR="002876D0">
        <w:rPr>
          <w:rFonts w:ascii="Times New Roman" w:hAnsi="Times New Roman" w:cs="B Lotus"/>
          <w:i/>
          <w:iCs/>
          <w:sz w:val="24"/>
          <w:szCs w:val="24"/>
        </w:rPr>
        <w:t xml:space="preserve"> </w:t>
      </w:r>
      <w:r w:rsidR="002876D0">
        <w:rPr>
          <w:rFonts w:ascii="Times New Roman" w:hAnsi="Times New Roman" w:cs="B Lotus"/>
          <w:sz w:val="24"/>
          <w:szCs w:val="24"/>
        </w:rPr>
        <w:t xml:space="preserve">prostate cancer, </w:t>
      </w:r>
      <w:r w:rsidR="006C063C">
        <w:rPr>
          <w:rFonts w:ascii="Times New Roman" w:hAnsi="Times New Roman" w:cs="B Lotus"/>
          <w:sz w:val="24"/>
          <w:szCs w:val="24"/>
        </w:rPr>
        <w:t xml:space="preserve">Bregs, </w:t>
      </w:r>
      <w:r w:rsidR="006C063C">
        <w:rPr>
          <w:rFonts w:asciiTheme="majorBidi" w:hAnsiTheme="majorBidi" w:cstheme="majorBidi"/>
          <w:color w:val="000000"/>
          <w:sz w:val="24"/>
          <w:szCs w:val="24"/>
        </w:rPr>
        <w:t xml:space="preserve">benign prostatic hyperplasia, </w:t>
      </w:r>
      <w:r w:rsidR="006C063C">
        <w:rPr>
          <w:rFonts w:ascii="Times New Roman" w:hAnsi="Times New Roman" w:cs="B Lotus"/>
          <w:sz w:val="24"/>
          <w:szCs w:val="24"/>
        </w:rPr>
        <w:t>CD19 and IL-10 markers</w:t>
      </w:r>
    </w:p>
    <w:p w:rsidR="00B12696" w:rsidRDefault="00B12696"/>
    <w:sectPr w:rsidR="00B126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5B1"/>
    <w:rsid w:val="000A1CC6"/>
    <w:rsid w:val="00170B75"/>
    <w:rsid w:val="002876D0"/>
    <w:rsid w:val="00293BD3"/>
    <w:rsid w:val="003B28A7"/>
    <w:rsid w:val="003E07B6"/>
    <w:rsid w:val="00511659"/>
    <w:rsid w:val="005435EB"/>
    <w:rsid w:val="006C063C"/>
    <w:rsid w:val="00874600"/>
    <w:rsid w:val="00AE6D14"/>
    <w:rsid w:val="00B12696"/>
    <w:rsid w:val="00C45A81"/>
    <w:rsid w:val="00CC0BB8"/>
    <w:rsid w:val="00DD45B1"/>
    <w:rsid w:val="00F90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105AEDF-D1D0-41BE-9450-5A8A9286E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5B1"/>
    <w:pPr>
      <w:bidi/>
    </w:pPr>
    <w:rPr>
      <w:rFonts w:eastAsiaTheme="minorEastAsia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en">
    <w:name w:val="Autoren"/>
    <w:basedOn w:val="Normal"/>
    <w:autoRedefine/>
    <w:rsid w:val="00511659"/>
    <w:pPr>
      <w:bidi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bidi="th-TH"/>
    </w:rPr>
  </w:style>
  <w:style w:type="character" w:customStyle="1" w:styleId="hps">
    <w:name w:val="hps"/>
    <w:basedOn w:val="DefaultParagraphFont"/>
    <w:rsid w:val="00511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7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bagheri</dc:creator>
  <cp:lastModifiedBy>imeny</cp:lastModifiedBy>
  <cp:revision>11</cp:revision>
  <dcterms:created xsi:type="dcterms:W3CDTF">2019-11-26T18:35:00Z</dcterms:created>
  <dcterms:modified xsi:type="dcterms:W3CDTF">2019-11-27T10:05:00Z</dcterms:modified>
</cp:coreProperties>
</file>