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695" w:rsidRPr="00BE3695" w:rsidRDefault="00BE3695" w:rsidP="00BE3695">
      <w:pPr>
        <w:widowControl/>
        <w:spacing w:after="160" w:line="259" w:lineRule="auto"/>
        <w:rPr>
          <w:rFonts w:ascii="Times New Roman" w:eastAsia="Times New Roman" w:hAnsi="Times New Roman" w:cs="Times New Roman"/>
          <w:b/>
          <w:sz w:val="24"/>
          <w:szCs w:val="24"/>
          <w:lang w:val="en-GB"/>
        </w:rPr>
      </w:pPr>
      <w:r w:rsidRPr="00BE3695">
        <w:rPr>
          <w:rFonts w:ascii="Times New Roman" w:eastAsia="Times New Roman" w:hAnsi="Times New Roman" w:cs="Times New Roman"/>
          <w:b/>
          <w:sz w:val="24"/>
          <w:szCs w:val="24"/>
          <w:lang w:val="en-GB"/>
        </w:rPr>
        <w:t>ADVERSE EFFECTS OF LINEZOLID AMONG MULTI DRUG RESISTANCE TUBERCULOSIS PATIENTS IN MALAWI</w:t>
      </w:r>
    </w:p>
    <w:p w:rsidR="00AE3E37" w:rsidRDefault="00AE3E37" w:rsidP="000534A1">
      <w:pPr>
        <w:pStyle w:val="Heading1"/>
        <w:spacing w:before="170"/>
        <w:ind w:left="0"/>
        <w:jc w:val="both"/>
      </w:pPr>
    </w:p>
    <w:p w:rsidR="00BE3695" w:rsidRDefault="00BE3695" w:rsidP="005973B9">
      <w:pPr>
        <w:pStyle w:val="BodyText"/>
        <w:spacing w:before="73" w:line="198" w:lineRule="exact"/>
        <w:ind w:left="100" w:right="5987"/>
        <w:rPr>
          <w:rFonts w:ascii="Arial"/>
        </w:rPr>
      </w:pPr>
      <w:r>
        <w:rPr>
          <w:rFonts w:ascii="Arial"/>
        </w:rPr>
        <w:t xml:space="preserve">Rebecca Karimu Mtambo BPH </w:t>
      </w:r>
    </w:p>
    <w:p w:rsidR="005973B9" w:rsidRDefault="0042345A" w:rsidP="005973B9">
      <w:pPr>
        <w:pStyle w:val="BodyText"/>
        <w:spacing w:before="73" w:line="198" w:lineRule="exact"/>
        <w:ind w:left="100" w:right="5987"/>
        <w:rPr>
          <w:rFonts w:ascii="Arial"/>
        </w:rPr>
      </w:pPr>
      <w:r>
        <w:rPr>
          <w:rFonts w:ascii="Arial"/>
        </w:rPr>
        <w:t xml:space="preserve">Mpunga </w:t>
      </w:r>
      <w:proofErr w:type="gramStart"/>
      <w:r>
        <w:rPr>
          <w:rFonts w:ascii="Arial"/>
        </w:rPr>
        <w:t>James ,</w:t>
      </w:r>
      <w:proofErr w:type="gramEnd"/>
      <w:r>
        <w:rPr>
          <w:rFonts w:ascii="Arial"/>
        </w:rPr>
        <w:t xml:space="preserve"> MBSS, MPH</w:t>
      </w:r>
    </w:p>
    <w:p w:rsidR="0042345A" w:rsidRDefault="0042345A" w:rsidP="005973B9">
      <w:pPr>
        <w:pStyle w:val="BodyText"/>
        <w:spacing w:before="73" w:line="198" w:lineRule="exact"/>
        <w:ind w:left="100" w:right="5987"/>
        <w:rPr>
          <w:rFonts w:ascii="Arial"/>
        </w:rPr>
      </w:pPr>
      <w:r>
        <w:rPr>
          <w:rFonts w:ascii="Arial"/>
        </w:rPr>
        <w:t>Kuzani Mbendera MD</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BE3695" w:rsidRDefault="00A9710C" w:rsidP="00BE3695">
      <w:pPr>
        <w:pStyle w:val="Heading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BE3695" w:rsidRPr="003A1688" w:rsidRDefault="00BE3695" w:rsidP="003A1688">
      <w:pPr>
        <w:shd w:val="clear" w:color="auto" w:fill="FFFFFF"/>
        <w:spacing w:before="166" w:after="166"/>
        <w:rPr>
          <w:rFonts w:ascii="Times New Roman" w:eastAsia="Times New Roman" w:hAnsi="Times New Roman" w:cs="Times New Roman"/>
          <w:color w:val="000000"/>
          <w:sz w:val="24"/>
          <w:szCs w:val="24"/>
          <w:lang w:val="en-GB" w:eastAsia="en-GB"/>
        </w:rPr>
      </w:pPr>
      <w:r w:rsidRPr="00D13988">
        <w:rPr>
          <w:rFonts w:ascii="Times New Roman" w:hAnsi="Times New Roman"/>
          <w:sz w:val="24"/>
          <w:szCs w:val="24"/>
        </w:rPr>
        <w:t>Drug-resistant TB has a major impact on health outcomes and costs in high-burden countries</w:t>
      </w:r>
      <w:r w:rsidRPr="00D13988">
        <w:rPr>
          <w:rFonts w:ascii="Times New Roman" w:hAnsi="Times New Roman"/>
          <w:sz w:val="24"/>
          <w:szCs w:val="24"/>
          <w:vertAlign w:val="superscript"/>
        </w:rPr>
        <w:t xml:space="preserve"> </w:t>
      </w:r>
      <w:r w:rsidRPr="00D13988">
        <w:rPr>
          <w:rFonts w:ascii="Times New Roman" w:hAnsi="Times New Roman"/>
          <w:sz w:val="24"/>
          <w:szCs w:val="24"/>
        </w:rPr>
        <w:t xml:space="preserve">and is expected to increase over the next decades. Linezolid, the prototype Oxazolidinone, improved outcomes of drug-resistant TB in clinical trials. An individual patient data meta-analysis showed that linezolid </w:t>
      </w:r>
      <w:proofErr w:type="gramStart"/>
      <w:r w:rsidRPr="00D13988">
        <w:rPr>
          <w:rFonts w:ascii="Times New Roman" w:hAnsi="Times New Roman"/>
          <w:sz w:val="24"/>
          <w:szCs w:val="24"/>
        </w:rPr>
        <w:t>use</w:t>
      </w:r>
      <w:proofErr w:type="gramEnd"/>
      <w:r w:rsidRPr="00D13988">
        <w:rPr>
          <w:rFonts w:ascii="Times New Roman" w:hAnsi="Times New Roman"/>
          <w:sz w:val="24"/>
          <w:szCs w:val="24"/>
        </w:rPr>
        <w:t xml:space="preserve"> increased odds of treatment success 3-fold with a significantly lower mortality.</w:t>
      </w:r>
      <w:r w:rsidRPr="00D13988">
        <w:rPr>
          <w:rFonts w:ascii="Times New Roman" w:hAnsi="Times New Roman"/>
          <w:sz w:val="24"/>
          <w:szCs w:val="24"/>
          <w:vertAlign w:val="superscript"/>
        </w:rPr>
        <w:t xml:space="preserve"> </w:t>
      </w:r>
      <w:r w:rsidRPr="00D13988">
        <w:rPr>
          <w:rFonts w:ascii="Times New Roman" w:hAnsi="Times New Roman"/>
          <w:sz w:val="24"/>
          <w:szCs w:val="24"/>
        </w:rPr>
        <w:t>Based on that data, WHO recommended linezolid as a preferred agent for all patients with drug-resistant TB in 2018.</w:t>
      </w:r>
      <w:r>
        <w:rPr>
          <w:rFonts w:ascii="Times New Roman" w:hAnsi="Times New Roman"/>
          <w:color w:val="FF0000"/>
          <w:sz w:val="24"/>
          <w:szCs w:val="24"/>
        </w:rPr>
        <w:t xml:space="preserve"> </w:t>
      </w:r>
      <w:r w:rsidRPr="00BE3695">
        <w:rPr>
          <w:rFonts w:ascii="Times New Roman" w:eastAsia="Times New Roman" w:hAnsi="Times New Roman" w:cs="Times New Roman"/>
          <w:color w:val="000000"/>
          <w:sz w:val="24"/>
          <w:szCs w:val="24"/>
          <w:shd w:val="clear" w:color="auto" w:fill="FFFFFF"/>
        </w:rPr>
        <w:t>Literature suggests that Linezolid can cause severe ADRs which affect patient compliance and hinder in therapy to a larger extent. Recent studies confirm the possibility of ADRs to be predicted with geneti</w:t>
      </w:r>
      <w:r w:rsidR="00F317FB">
        <w:rPr>
          <w:rFonts w:ascii="Times New Roman" w:eastAsia="Times New Roman" w:hAnsi="Times New Roman" w:cs="Times New Roman"/>
          <w:color w:val="000000"/>
          <w:sz w:val="24"/>
          <w:szCs w:val="24"/>
          <w:shd w:val="clear" w:color="auto" w:fill="FFFFFF"/>
        </w:rPr>
        <w:t>c make-up of individuals</w:t>
      </w:r>
      <w:r>
        <w:rPr>
          <w:rFonts w:ascii="Times New Roman" w:eastAsia="Times New Roman" w:hAnsi="Times New Roman" w:cs="Times New Roman"/>
          <w:color w:val="000000"/>
          <w:sz w:val="24"/>
          <w:szCs w:val="24"/>
          <w:shd w:val="clear" w:color="auto" w:fill="FFFFFF"/>
        </w:rPr>
        <w:t xml:space="preserve">. </w:t>
      </w:r>
      <w:r w:rsidRPr="00BE3695">
        <w:rPr>
          <w:rFonts w:ascii="Times New Roman" w:eastAsia="Times New Roman" w:hAnsi="Times New Roman" w:cs="Times New Roman"/>
          <w:color w:val="000000"/>
          <w:sz w:val="24"/>
          <w:szCs w:val="24"/>
          <w:shd w:val="clear" w:color="auto" w:fill="FFFFFF"/>
        </w:rPr>
        <w:t>Studies done in African countries has shown that linezolid has a lot</w:t>
      </w:r>
      <w:r w:rsidR="00F317FB">
        <w:rPr>
          <w:rFonts w:ascii="Times New Roman" w:eastAsia="Times New Roman" w:hAnsi="Times New Roman" w:cs="Times New Roman"/>
          <w:color w:val="000000"/>
          <w:sz w:val="24"/>
          <w:szCs w:val="24"/>
          <w:shd w:val="clear" w:color="auto" w:fill="FFFFFF"/>
        </w:rPr>
        <w:t xml:space="preserve"> of adverse effects</w:t>
      </w:r>
      <w:r w:rsidR="00636BBC">
        <w:rPr>
          <w:rFonts w:ascii="Times New Roman" w:eastAsia="Times New Roman" w:hAnsi="Times New Roman" w:cs="Times New Roman"/>
          <w:color w:val="000000"/>
          <w:sz w:val="24"/>
          <w:szCs w:val="24"/>
          <w:shd w:val="clear" w:color="auto" w:fill="FFFFFF"/>
        </w:rPr>
        <w:t xml:space="preserve">. </w:t>
      </w:r>
      <w:r w:rsidR="00636BBC" w:rsidRPr="008A0B01">
        <w:rPr>
          <w:rFonts w:ascii="Times New Roman" w:hAnsi="Times New Roman"/>
          <w:sz w:val="24"/>
          <w:szCs w:val="24"/>
        </w:rPr>
        <w:t xml:space="preserve">We retrospectively studied all patients with confirmed MDR TB who had received the dosage of linezolid during </w:t>
      </w:r>
      <w:r w:rsidR="00636BBC" w:rsidRPr="008A0B01">
        <w:rPr>
          <w:rFonts w:ascii="Times New Roman" w:hAnsi="Times New Roman"/>
          <w:b/>
          <w:sz w:val="24"/>
          <w:szCs w:val="24"/>
        </w:rPr>
        <w:t>January –December 2019 to January- December 2020</w:t>
      </w:r>
      <w:r w:rsidR="00636BBC" w:rsidRPr="008A0B01">
        <w:rPr>
          <w:rFonts w:ascii="Times New Roman" w:hAnsi="Times New Roman"/>
          <w:sz w:val="24"/>
          <w:szCs w:val="24"/>
        </w:rPr>
        <w:t xml:space="preserve"> and had been followed up for 24 m</w:t>
      </w:r>
      <w:r w:rsidR="00636BBC">
        <w:rPr>
          <w:rFonts w:ascii="Times New Roman" w:hAnsi="Times New Roman"/>
          <w:sz w:val="24"/>
          <w:szCs w:val="24"/>
        </w:rPr>
        <w:t>onths.</w:t>
      </w:r>
      <w:r w:rsidR="007375C6" w:rsidRPr="007375C6">
        <w:rPr>
          <w:rFonts w:ascii="Times New Roman" w:hAnsi="Times New Roman"/>
          <w:sz w:val="24"/>
          <w:szCs w:val="24"/>
        </w:rPr>
        <w:t xml:space="preserve"> </w:t>
      </w:r>
      <w:r w:rsidR="007375C6" w:rsidRPr="008A0B01">
        <w:rPr>
          <w:rFonts w:ascii="Times New Roman" w:hAnsi="Times New Roman"/>
          <w:sz w:val="24"/>
          <w:szCs w:val="24"/>
        </w:rPr>
        <w:t>We monitored the adverse events using a technique whereby physicians and clinicians performed daily neurologic and ophthalmologic examinations of hospitalised patients at Bwaila hospital, Lilongwe, and monthly examination of out-patients. Neurologic adverse effects included motor and sensory deficits, tendon reflex abnormalities, and palles</w:t>
      </w:r>
      <w:r w:rsidR="007375C6">
        <w:rPr>
          <w:rFonts w:ascii="Times New Roman" w:hAnsi="Times New Roman"/>
          <w:sz w:val="24"/>
          <w:szCs w:val="24"/>
        </w:rPr>
        <w:t>thesia.</w:t>
      </w:r>
      <w:r w:rsidR="003A1688" w:rsidRPr="003A1688">
        <w:rPr>
          <w:rFonts w:ascii="Times New Roman" w:hAnsi="Times New Roman"/>
          <w:color w:val="000000"/>
          <w:sz w:val="24"/>
          <w:szCs w:val="24"/>
          <w:lang w:eastAsia="en-GB"/>
        </w:rPr>
        <w:t xml:space="preserve"> </w:t>
      </w:r>
      <w:r w:rsidR="003A1688" w:rsidRPr="003A1688">
        <w:rPr>
          <w:rFonts w:ascii="Times New Roman" w:eastAsia="Times New Roman" w:hAnsi="Times New Roman" w:cs="Times New Roman"/>
          <w:color w:val="000000"/>
          <w:sz w:val="24"/>
          <w:szCs w:val="24"/>
          <w:lang w:val="en-GB" w:eastAsia="en-GB"/>
        </w:rPr>
        <w:t>The possibility of experiencing side effects was linked to the dosage and duration of treatment, mainly when used for more than 12 weeks. Therefore, it requires monthly complete blood count monitoring and discontinuation when myelos+uppress</w:t>
      </w:r>
      <w:r w:rsidR="00F62C50">
        <w:rPr>
          <w:rFonts w:ascii="Times New Roman" w:eastAsia="Times New Roman" w:hAnsi="Times New Roman" w:cs="Times New Roman"/>
          <w:color w:val="000000"/>
          <w:sz w:val="24"/>
          <w:szCs w:val="24"/>
          <w:lang w:val="en-GB" w:eastAsia="en-GB"/>
        </w:rPr>
        <w:t xml:space="preserve">ion or neuropathy is </w:t>
      </w:r>
      <w:proofErr w:type="gramStart"/>
      <w:r w:rsidR="00F62C50">
        <w:rPr>
          <w:rFonts w:ascii="Times New Roman" w:eastAsia="Times New Roman" w:hAnsi="Times New Roman" w:cs="Times New Roman"/>
          <w:color w:val="000000"/>
          <w:sz w:val="24"/>
          <w:szCs w:val="24"/>
          <w:lang w:val="en-GB" w:eastAsia="en-GB"/>
        </w:rPr>
        <w:t>suspected.</w:t>
      </w:r>
      <w:r w:rsidR="003A1688" w:rsidRPr="003A1688">
        <w:rPr>
          <w:rFonts w:ascii="Times New Roman" w:eastAsia="Times New Roman" w:hAnsi="Times New Roman" w:cs="Times New Roman"/>
          <w:color w:val="000000"/>
          <w:sz w:val="24"/>
          <w:szCs w:val="24"/>
          <w:lang w:val="en-GB" w:eastAsia="en-GB"/>
        </w:rPr>
        <w:t>The</w:t>
      </w:r>
      <w:proofErr w:type="gramEnd"/>
      <w:r w:rsidR="003A1688" w:rsidRPr="003A1688">
        <w:rPr>
          <w:rFonts w:ascii="Times New Roman" w:eastAsia="Times New Roman" w:hAnsi="Times New Roman" w:cs="Times New Roman"/>
          <w:color w:val="000000"/>
          <w:sz w:val="24"/>
          <w:szCs w:val="24"/>
          <w:lang w:val="en-GB" w:eastAsia="en-GB"/>
        </w:rPr>
        <w:t xml:space="preserve"> main ocular side effect linked to linezolid use was optic neuropat</w:t>
      </w:r>
      <w:r w:rsidR="00F62C50">
        <w:rPr>
          <w:rFonts w:ascii="Times New Roman" w:eastAsia="Times New Roman" w:hAnsi="Times New Roman" w:cs="Times New Roman"/>
          <w:color w:val="000000"/>
          <w:sz w:val="24"/>
          <w:szCs w:val="24"/>
          <w:lang w:val="en-GB" w:eastAsia="en-GB"/>
        </w:rPr>
        <w:t>h</w:t>
      </w:r>
      <w:r w:rsidR="0042345A">
        <w:rPr>
          <w:rFonts w:ascii="Times New Roman" w:eastAsia="Times New Roman" w:hAnsi="Times New Roman" w:cs="Times New Roman"/>
          <w:color w:val="000000"/>
          <w:sz w:val="24"/>
          <w:szCs w:val="24"/>
          <w:lang w:val="en-GB" w:eastAsia="en-GB"/>
        </w:rPr>
        <w:t>y, Anaemia and Peripheral neuropathy</w:t>
      </w:r>
      <w:r w:rsidR="00F62C50">
        <w:rPr>
          <w:rFonts w:ascii="Times New Roman" w:eastAsia="Times New Roman" w:hAnsi="Times New Roman" w:cs="Times New Roman"/>
          <w:color w:val="000000"/>
          <w:sz w:val="24"/>
          <w:szCs w:val="24"/>
          <w:lang w:val="en-GB" w:eastAsia="en-GB"/>
        </w:rPr>
        <w:t>.</w:t>
      </w:r>
    </w:p>
    <w:p w:rsidR="00BE3695" w:rsidRPr="00BE3695" w:rsidRDefault="00BE3695" w:rsidP="00BE3695">
      <w:pPr>
        <w:spacing w:before="240" w:line="360" w:lineRule="auto"/>
        <w:rPr>
          <w:rFonts w:ascii="Times New Roman" w:eastAsia="Times New Roman" w:hAnsi="Times New Roman" w:cs="Times New Roman"/>
          <w:color w:val="000000"/>
          <w:sz w:val="24"/>
          <w:szCs w:val="24"/>
          <w:shd w:val="clear" w:color="auto" w:fill="FFFFFF"/>
        </w:rPr>
      </w:pPr>
    </w:p>
    <w:p w:rsidR="00045394" w:rsidRPr="00045394" w:rsidRDefault="00A9710C" w:rsidP="00045394">
      <w:pPr>
        <w:pStyle w:val="NormalWeb"/>
        <w:spacing w:line="360" w:lineRule="auto"/>
        <w:ind w:left="720"/>
      </w:pPr>
      <w:r>
        <w:br w:type="column"/>
      </w:r>
      <w:r>
        <w:rPr>
          <w:color w:val="BF5A14"/>
        </w:rPr>
        <w:lastRenderedPageBreak/>
        <w:t>Image</w:t>
      </w:r>
      <w:r w:rsidR="00045394">
        <w:rPr>
          <w:color w:val="BF5A14"/>
        </w:rPr>
        <w:t xml:space="preserve"> </w:t>
      </w:r>
      <w:r w:rsidR="00045394" w:rsidRPr="00045394">
        <w:t>Fig</w:t>
      </w:r>
      <w:r w:rsidR="00045394">
        <w:t xml:space="preserve"> 1.0 shows Adverse Effects of Linezolid</w:t>
      </w:r>
    </w:p>
    <w:p w:rsidR="00045394" w:rsidRPr="00045394" w:rsidRDefault="00045394" w:rsidP="00045394">
      <w:pPr>
        <w:widowControl/>
        <w:spacing w:before="100" w:beforeAutospacing="1" w:after="100" w:afterAutospacing="1" w:line="360" w:lineRule="auto"/>
        <w:ind w:left="720"/>
        <w:rPr>
          <w:rFonts w:ascii="Times New Roman" w:eastAsia="Times New Roman" w:hAnsi="Times New Roman" w:cs="Times New Roman"/>
          <w:sz w:val="24"/>
          <w:szCs w:val="24"/>
        </w:rPr>
      </w:pPr>
      <w:r w:rsidRPr="00045394">
        <w:rPr>
          <w:rFonts w:ascii="Times New Roman" w:eastAsia="Times New Roman" w:hAnsi="Times New Roman" w:cs="Times New Roman"/>
          <w:noProof/>
          <w:sz w:val="24"/>
          <w:szCs w:val="24"/>
          <w:lang w:val="en-GB" w:eastAsia="en-GB"/>
        </w:rPr>
        <w:drawing>
          <wp:inline distT="0" distB="0" distL="0" distR="0">
            <wp:extent cx="5676265" cy="3421380"/>
            <wp:effectExtent l="38100" t="0" r="19685" b="0"/>
            <wp:docPr id="3"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r w:rsidRPr="00045394">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663360" behindDoc="0" locked="0" layoutInCell="1" allowOverlap="1">
                <wp:simplePos x="0" y="0"/>
                <wp:positionH relativeFrom="column">
                  <wp:posOffset>3774440</wp:posOffset>
                </wp:positionH>
                <wp:positionV relativeFrom="paragraph">
                  <wp:posOffset>431800</wp:posOffset>
                </wp:positionV>
                <wp:extent cx="2121535" cy="349885"/>
                <wp:effectExtent l="0" t="0" r="12065" b="1206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1535" cy="349885"/>
                        </a:xfrm>
                        <a:prstGeom prst="rect">
                          <a:avLst/>
                        </a:prstGeom>
                        <a:solidFill>
                          <a:sysClr val="window" lastClr="FFFFFF"/>
                        </a:solidFill>
                        <a:ln w="6350">
                          <a:solidFill>
                            <a:prstClr val="black"/>
                          </a:solidFill>
                        </a:ln>
                      </wps:spPr>
                      <wps:txbx>
                        <w:txbxContent>
                          <w:p w:rsidR="00045394" w:rsidRDefault="00045394" w:rsidP="00045394">
                            <w:r>
                              <w:rPr>
                                <w:rFonts w:asciiTheme="minorHAnsi" w:hAnsiTheme="minorHAnsi"/>
                              </w:rPr>
                              <w:t>Dependent variable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297.2pt;margin-top:34pt;width:167.05pt;height:27.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" fillcolor="window" strokeweight=".5pt">
                <v:path arrowok="t"/>
                <v:textbox>
                  <w:txbxContent>
                    <w:p w:rsidR="00045394" w:rsidRDefault="00045394" w:rsidP="00045394">
                      <w:r>
                        <w:rPr>
                          <w:rFonts w:asciiTheme="minorHAnsi" w:hAnsiTheme="minorHAnsi"/>
                        </w:rPr>
                        <w:t>Dependent variable</w:t>
                      </w:r>
                    </w:p>
                  </w:txbxContent>
                </v:textbox>
              </v:shape>
            </w:pict>
          </mc:Fallback>
        </mc:AlternateContent>
      </w:r>
      <w:r w:rsidRPr="00045394">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662336" behindDoc="0" locked="0" layoutInCell="1" allowOverlap="1">
                <wp:simplePos x="0" y="0"/>
                <wp:positionH relativeFrom="column">
                  <wp:posOffset>673100</wp:posOffset>
                </wp:positionH>
                <wp:positionV relativeFrom="paragraph">
                  <wp:posOffset>409575</wp:posOffset>
                </wp:positionV>
                <wp:extent cx="1828800" cy="372745"/>
                <wp:effectExtent l="0" t="0" r="19050" b="2730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372745"/>
                        </a:xfrm>
                        <a:prstGeom prst="rect">
                          <a:avLst/>
                        </a:prstGeom>
                        <a:solidFill>
                          <a:sysClr val="window" lastClr="FFFFFF"/>
                        </a:solidFill>
                        <a:ln w="6350">
                          <a:solidFill>
                            <a:prstClr val="black"/>
                          </a:solidFill>
                        </a:ln>
                      </wps:spPr>
                      <wps:txbx>
                        <w:txbxContent>
                          <w:p w:rsidR="00045394" w:rsidRDefault="00045394" w:rsidP="00045394">
                            <w:r>
                              <w:rPr>
                                <w:rFonts w:asciiTheme="minorHAnsi" w:hAnsiTheme="minorHAnsi"/>
                              </w:rPr>
                              <w:t>Independent variables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4" o:spid="_x0000_s1027" type="#_x0000_t202" style="position:absolute;left:0;text-align:left;margin-left:53pt;margin-top:32.25pt;width:2in;height:2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" fillcolor="window" strokeweight=".5pt">
                <v:path arrowok="t"/>
                <v:textbox>
                  <w:txbxContent>
                    <w:p w:rsidR="00045394" w:rsidRDefault="00045394" w:rsidP="00045394">
                      <w:r>
                        <w:rPr>
                          <w:rFonts w:asciiTheme="minorHAnsi" w:hAnsiTheme="minorHAnsi"/>
                        </w:rPr>
                        <w:t>Independent variables</w:t>
                      </w:r>
                    </w:p>
                  </w:txbxContent>
                </v:textbox>
              </v:shape>
            </w:pict>
          </mc:Fallback>
        </mc:AlternateContent>
      </w:r>
    </w:p>
    <w:p w:rsidR="00AE3E37" w:rsidRDefault="00AE3E37" w:rsidP="00BE3695">
      <w:pPr>
        <w:pStyle w:val="Heading3"/>
        <w:spacing w:before="147"/>
        <w:jc w:val="both"/>
      </w:pP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701ED1" w:rsidRPr="00701ED1" w:rsidRDefault="00701ED1" w:rsidP="00701ED1">
      <w:pPr>
        <w:widowControl/>
        <w:shd w:val="clear" w:color="auto" w:fill="FFFFFF"/>
        <w:spacing w:after="160"/>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 xml:space="preserve">  1.</w:t>
      </w:r>
      <w:r w:rsidRPr="00701ED1">
        <w:rPr>
          <w:rFonts w:ascii="Times New Roman" w:eastAsia="Times New Roman" w:hAnsi="Times New Roman" w:cs="Times New Roman"/>
          <w:color w:val="000000"/>
          <w:sz w:val="24"/>
          <w:szCs w:val="24"/>
          <w:lang w:val="en-GB" w:eastAsia="en-GB"/>
        </w:rPr>
        <w:t>Karuppannasamy D, Raghuram A, Sundar D. Linezolid-induced optic neuropathy. </w:t>
      </w:r>
      <w:r w:rsidRPr="00701ED1">
        <w:rPr>
          <w:rFonts w:ascii="Times New Roman" w:eastAsia="Times New Roman" w:hAnsi="Times New Roman" w:cs="Times New Roman"/>
          <w:i/>
          <w:iCs/>
          <w:color w:val="000000"/>
          <w:sz w:val="24"/>
          <w:szCs w:val="24"/>
          <w:lang w:val="en-GB" w:eastAsia="en-GB"/>
        </w:rPr>
        <w:t>Indian J Ophthalmol. </w:t>
      </w:r>
      <w:proofErr w:type="gramStart"/>
      <w:r w:rsidRPr="00701ED1">
        <w:rPr>
          <w:rFonts w:ascii="Times New Roman" w:eastAsia="Times New Roman" w:hAnsi="Times New Roman" w:cs="Times New Roman"/>
          <w:color w:val="000000"/>
          <w:sz w:val="24"/>
          <w:szCs w:val="24"/>
          <w:lang w:val="en-GB" w:eastAsia="en-GB"/>
        </w:rPr>
        <w:t>2014;62:497</w:t>
      </w:r>
      <w:proofErr w:type="gramEnd"/>
      <w:r w:rsidRPr="00701ED1">
        <w:rPr>
          <w:rFonts w:ascii="Times New Roman" w:eastAsia="Times New Roman" w:hAnsi="Times New Roman" w:cs="Times New Roman"/>
          <w:color w:val="000000"/>
          <w:sz w:val="24"/>
          <w:szCs w:val="24"/>
          <w:lang w:val="en-GB" w:eastAsia="en-GB"/>
        </w:rPr>
        <w:t>–500. [</w:t>
      </w:r>
      <w:hyperlink r:id="rId13" w:history="1">
        <w:r w:rsidRPr="00701ED1">
          <w:rPr>
            <w:rFonts w:ascii="Times New Roman" w:eastAsia="Times New Roman" w:hAnsi="Times New Roman" w:cs="Times New Roman"/>
            <w:color w:val="2F4A8B"/>
            <w:sz w:val="24"/>
            <w:szCs w:val="24"/>
            <w:u w:val="single"/>
            <w:lang w:val="en-GB" w:eastAsia="en-GB"/>
          </w:rPr>
          <w:t>PMC free article</w:t>
        </w:r>
      </w:hyperlink>
      <w:r w:rsidRPr="00701ED1">
        <w:rPr>
          <w:rFonts w:ascii="Times New Roman" w:eastAsia="Times New Roman" w:hAnsi="Times New Roman" w:cs="Times New Roman"/>
          <w:color w:val="000000"/>
          <w:sz w:val="24"/>
          <w:szCs w:val="24"/>
          <w:lang w:val="en-GB" w:eastAsia="en-GB"/>
        </w:rPr>
        <w:t>] [</w:t>
      </w:r>
      <w:hyperlink r:id="rId14" w:history="1">
        <w:r w:rsidRPr="00701ED1">
          <w:rPr>
            <w:rFonts w:ascii="Times New Roman" w:eastAsia="Times New Roman" w:hAnsi="Times New Roman" w:cs="Times New Roman"/>
            <w:color w:val="2F4A8B"/>
            <w:sz w:val="24"/>
            <w:szCs w:val="24"/>
            <w:u w:val="single"/>
            <w:lang w:val="en-GB" w:eastAsia="en-GB"/>
          </w:rPr>
          <w:t>PubMed</w:t>
        </w:r>
      </w:hyperlink>
      <w:r w:rsidRPr="00701ED1">
        <w:rPr>
          <w:rFonts w:ascii="Times New Roman" w:eastAsia="Times New Roman" w:hAnsi="Times New Roman" w:cs="Times New Roman"/>
          <w:color w:val="000000"/>
          <w:sz w:val="24"/>
          <w:szCs w:val="24"/>
          <w:lang w:val="en-GB" w:eastAsia="en-GB"/>
        </w:rPr>
        <w:t>] [</w:t>
      </w:r>
      <w:hyperlink r:id="rId15" w:tgtFrame="_blank" w:history="1">
        <w:r w:rsidRPr="00701ED1">
          <w:rPr>
            <w:rFonts w:ascii="Times New Roman" w:eastAsia="Times New Roman" w:hAnsi="Times New Roman" w:cs="Times New Roman"/>
            <w:color w:val="2F4A8B"/>
            <w:sz w:val="24"/>
            <w:szCs w:val="24"/>
            <w:u w:val="single"/>
            <w:lang w:val="en-GB" w:eastAsia="en-GB"/>
          </w:rPr>
          <w:t>Google Scholar</w:t>
        </w:r>
      </w:hyperlink>
      <w:r w:rsidRPr="00701ED1">
        <w:rPr>
          <w:rFonts w:ascii="Times New Roman" w:eastAsia="Times New Roman" w:hAnsi="Times New Roman" w:cs="Times New Roman"/>
          <w:color w:val="000000"/>
          <w:sz w:val="24"/>
          <w:szCs w:val="24"/>
          <w:lang w:val="en-GB" w:eastAsia="en-GB"/>
        </w:rPr>
        <w:t>]</w:t>
      </w:r>
    </w:p>
    <w:p w:rsidR="00701ED1" w:rsidRDefault="00701ED1" w:rsidP="00701ED1">
      <w:pPr>
        <w:widowControl/>
        <w:shd w:val="clear" w:color="auto" w:fill="FFFFFF"/>
        <w:spacing w:after="160"/>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2</w:t>
      </w:r>
      <w:r w:rsidRPr="00701ED1">
        <w:rPr>
          <w:rFonts w:ascii="Times New Roman" w:eastAsia="Times New Roman" w:hAnsi="Times New Roman" w:cs="Times New Roman"/>
          <w:color w:val="000000"/>
          <w:sz w:val="24"/>
          <w:szCs w:val="24"/>
          <w:lang w:val="en-GB" w:eastAsia="en-GB"/>
        </w:rPr>
        <w:t>. Chaitali P, Suresh R. Comment on linezolid induced optic neuropathy. </w:t>
      </w:r>
      <w:r w:rsidRPr="00701ED1">
        <w:rPr>
          <w:rFonts w:ascii="Times New Roman" w:eastAsia="Times New Roman" w:hAnsi="Times New Roman" w:cs="Times New Roman"/>
          <w:i/>
          <w:iCs/>
          <w:color w:val="000000"/>
          <w:sz w:val="24"/>
          <w:szCs w:val="24"/>
          <w:lang w:val="en-GB" w:eastAsia="en-GB"/>
        </w:rPr>
        <w:t>Indian J Ophthalmol. </w:t>
      </w:r>
      <w:proofErr w:type="gramStart"/>
      <w:r w:rsidRPr="00701ED1">
        <w:rPr>
          <w:rFonts w:ascii="Times New Roman" w:eastAsia="Times New Roman" w:hAnsi="Times New Roman" w:cs="Times New Roman"/>
          <w:color w:val="000000"/>
          <w:sz w:val="24"/>
          <w:szCs w:val="24"/>
          <w:lang w:val="en-GB" w:eastAsia="en-GB"/>
        </w:rPr>
        <w:t>2015;63:75</w:t>
      </w:r>
      <w:proofErr w:type="gramEnd"/>
      <w:r w:rsidRPr="00701ED1">
        <w:rPr>
          <w:rFonts w:ascii="Times New Roman" w:eastAsia="Times New Roman" w:hAnsi="Times New Roman" w:cs="Times New Roman"/>
          <w:color w:val="000000"/>
          <w:sz w:val="24"/>
          <w:szCs w:val="24"/>
          <w:lang w:val="en-GB" w:eastAsia="en-GB"/>
        </w:rPr>
        <w:t>–6. [</w:t>
      </w:r>
      <w:hyperlink r:id="rId16" w:history="1">
        <w:r w:rsidRPr="00701ED1">
          <w:rPr>
            <w:rFonts w:ascii="Times New Roman" w:eastAsia="Times New Roman" w:hAnsi="Times New Roman" w:cs="Times New Roman"/>
            <w:color w:val="2F4A8B"/>
            <w:sz w:val="24"/>
            <w:szCs w:val="24"/>
            <w:u w:val="single"/>
            <w:lang w:val="en-GB" w:eastAsia="en-GB"/>
          </w:rPr>
          <w:t>PMC free article</w:t>
        </w:r>
      </w:hyperlink>
      <w:r w:rsidRPr="00701ED1">
        <w:rPr>
          <w:rFonts w:ascii="Times New Roman" w:eastAsia="Times New Roman" w:hAnsi="Times New Roman" w:cs="Times New Roman"/>
          <w:color w:val="000000"/>
          <w:sz w:val="24"/>
          <w:szCs w:val="24"/>
          <w:lang w:val="en-GB" w:eastAsia="en-GB"/>
        </w:rPr>
        <w:t>] [</w:t>
      </w:r>
      <w:hyperlink r:id="rId17" w:history="1">
        <w:r w:rsidRPr="00701ED1">
          <w:rPr>
            <w:rFonts w:ascii="Times New Roman" w:eastAsia="Times New Roman" w:hAnsi="Times New Roman" w:cs="Times New Roman"/>
            <w:color w:val="2F4A8B"/>
            <w:sz w:val="24"/>
            <w:szCs w:val="24"/>
            <w:u w:val="single"/>
            <w:lang w:val="en-GB" w:eastAsia="en-GB"/>
          </w:rPr>
          <w:t>PubMed</w:t>
        </w:r>
      </w:hyperlink>
      <w:r w:rsidRPr="00701ED1">
        <w:rPr>
          <w:rFonts w:ascii="Times New Roman" w:eastAsia="Times New Roman" w:hAnsi="Times New Roman" w:cs="Times New Roman"/>
          <w:color w:val="000000"/>
          <w:sz w:val="24"/>
          <w:szCs w:val="24"/>
          <w:lang w:val="en-GB" w:eastAsia="en-GB"/>
        </w:rPr>
        <w:t>] [</w:t>
      </w:r>
      <w:hyperlink r:id="rId18" w:tgtFrame="_blank" w:history="1">
        <w:r w:rsidRPr="00701ED1">
          <w:rPr>
            <w:rFonts w:ascii="Times New Roman" w:eastAsia="Times New Roman" w:hAnsi="Times New Roman" w:cs="Times New Roman"/>
            <w:color w:val="2F4A8B"/>
            <w:sz w:val="24"/>
            <w:szCs w:val="24"/>
            <w:u w:val="single"/>
            <w:lang w:val="en-GB" w:eastAsia="en-GB"/>
          </w:rPr>
          <w:t>Google Scholar</w:t>
        </w:r>
      </w:hyperlink>
      <w:r w:rsidRPr="00701ED1">
        <w:rPr>
          <w:rFonts w:ascii="Times New Roman" w:eastAsia="Times New Roman" w:hAnsi="Times New Roman" w:cs="Times New Roman"/>
          <w:color w:val="000000"/>
          <w:sz w:val="24"/>
          <w:szCs w:val="24"/>
          <w:lang w:val="en-GB" w:eastAsia="en-GB"/>
        </w:rPr>
        <w:t>]</w:t>
      </w:r>
    </w:p>
    <w:p w:rsidR="005973B9" w:rsidRDefault="00701ED1" w:rsidP="00701ED1">
      <w:pPr>
        <w:widowControl/>
        <w:shd w:val="clear" w:color="auto" w:fill="FFFFFF"/>
        <w:spacing w:after="160"/>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3</w:t>
      </w:r>
      <w:r w:rsidRPr="00701ED1">
        <w:rPr>
          <w:rFonts w:ascii="Times New Roman" w:eastAsia="Times New Roman" w:hAnsi="Times New Roman" w:cs="Times New Roman"/>
          <w:color w:val="000000"/>
          <w:sz w:val="24"/>
          <w:szCs w:val="24"/>
          <w:lang w:val="en-GB" w:eastAsia="en-GB"/>
        </w:rPr>
        <w:t>. Han J, Lee K, Rhiu S, Lee JB, Han SH. Linezolid-associated optic neuropathy in a patient with drug-resistant tuberculosis. </w:t>
      </w:r>
      <w:r w:rsidRPr="00701ED1">
        <w:rPr>
          <w:rFonts w:ascii="Times New Roman" w:eastAsia="Times New Roman" w:hAnsi="Times New Roman" w:cs="Times New Roman"/>
          <w:i/>
          <w:iCs/>
          <w:color w:val="000000"/>
          <w:sz w:val="24"/>
          <w:szCs w:val="24"/>
          <w:lang w:val="en-GB" w:eastAsia="en-GB"/>
        </w:rPr>
        <w:t>J Neuroophthalmol. </w:t>
      </w:r>
      <w:proofErr w:type="gramStart"/>
      <w:r w:rsidRPr="00701ED1">
        <w:rPr>
          <w:rFonts w:ascii="Times New Roman" w:eastAsia="Times New Roman" w:hAnsi="Times New Roman" w:cs="Times New Roman"/>
          <w:color w:val="000000"/>
          <w:sz w:val="24"/>
          <w:szCs w:val="24"/>
          <w:lang w:val="en-GB" w:eastAsia="en-GB"/>
        </w:rPr>
        <w:t>2013;33:316</w:t>
      </w:r>
      <w:proofErr w:type="gramEnd"/>
      <w:r w:rsidRPr="00701ED1">
        <w:rPr>
          <w:rFonts w:ascii="Times New Roman" w:eastAsia="Times New Roman" w:hAnsi="Times New Roman" w:cs="Times New Roman"/>
          <w:color w:val="000000"/>
          <w:sz w:val="24"/>
          <w:szCs w:val="24"/>
          <w:lang w:val="en-GB" w:eastAsia="en-GB"/>
        </w:rPr>
        <w:t>–8. [</w:t>
      </w:r>
      <w:hyperlink r:id="rId19" w:history="1">
        <w:r w:rsidRPr="00701ED1">
          <w:rPr>
            <w:rFonts w:ascii="Times New Roman" w:eastAsia="Times New Roman" w:hAnsi="Times New Roman" w:cs="Times New Roman"/>
            <w:color w:val="2F4A8B"/>
            <w:sz w:val="24"/>
            <w:szCs w:val="24"/>
            <w:u w:val="single"/>
            <w:lang w:val="en-GB" w:eastAsia="en-GB"/>
          </w:rPr>
          <w:t>PubMed</w:t>
        </w:r>
      </w:hyperlink>
      <w:r w:rsidRPr="00701ED1">
        <w:rPr>
          <w:rFonts w:ascii="Times New Roman" w:eastAsia="Times New Roman" w:hAnsi="Times New Roman" w:cs="Times New Roman"/>
          <w:color w:val="000000"/>
          <w:sz w:val="24"/>
          <w:szCs w:val="24"/>
          <w:lang w:val="en-GB" w:eastAsia="en-GB"/>
        </w:rPr>
        <w:t>] [</w:t>
      </w:r>
      <w:hyperlink r:id="rId20" w:tgtFrame="_blank" w:history="1">
        <w:r w:rsidRPr="00701ED1">
          <w:rPr>
            <w:rFonts w:ascii="Times New Roman" w:eastAsia="Times New Roman" w:hAnsi="Times New Roman" w:cs="Times New Roman"/>
            <w:color w:val="2F4A8B"/>
            <w:sz w:val="24"/>
            <w:szCs w:val="24"/>
            <w:u w:val="single"/>
            <w:lang w:val="en-GB" w:eastAsia="en-GB"/>
          </w:rPr>
          <w:t>Google Scholar</w:t>
        </w:r>
      </w:hyperlink>
      <w:r w:rsidRPr="00701ED1">
        <w:rPr>
          <w:rFonts w:ascii="Times New Roman" w:eastAsia="Times New Roman" w:hAnsi="Times New Roman" w:cs="Times New Roman"/>
          <w:color w:val="000000"/>
          <w:sz w:val="24"/>
          <w:szCs w:val="24"/>
          <w:lang w:val="en-GB" w:eastAsia="en-GB"/>
        </w:rPr>
        <w:t>]</w:t>
      </w:r>
    </w:p>
    <w:p w:rsidR="00E903EE" w:rsidRPr="00E903EE" w:rsidRDefault="00A65F56" w:rsidP="00E903EE">
      <w:pPr>
        <w:widowControl/>
        <w:shd w:val="clear" w:color="auto" w:fill="FFFFFF"/>
        <w:spacing w:after="160"/>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4.</w:t>
      </w:r>
      <w:r w:rsidR="00E903EE" w:rsidRPr="00E903EE">
        <w:rPr>
          <w:rFonts w:ascii="Times New Roman" w:eastAsia="Times New Roman" w:hAnsi="Times New Roman" w:cs="Times New Roman"/>
          <w:color w:val="000000"/>
          <w:sz w:val="24"/>
          <w:szCs w:val="24"/>
          <w:lang w:val="en-GB" w:eastAsia="en-GB"/>
        </w:rPr>
        <w:t>Who Expert Committee. The Selection and Use of Essential Medicines. </w:t>
      </w:r>
      <w:r w:rsidR="00E903EE" w:rsidRPr="00E903EE">
        <w:rPr>
          <w:rFonts w:ascii="Times New Roman" w:eastAsia="Times New Roman" w:hAnsi="Times New Roman" w:cs="Times New Roman"/>
          <w:i/>
          <w:iCs/>
          <w:color w:val="000000"/>
          <w:sz w:val="24"/>
          <w:szCs w:val="24"/>
          <w:lang w:val="en-GB" w:eastAsia="en-GB"/>
        </w:rPr>
        <w:t>WHO Technical Report Series.</w:t>
      </w:r>
      <w:r w:rsidR="00E903EE" w:rsidRPr="00E903EE">
        <w:rPr>
          <w:rFonts w:ascii="Times New Roman" w:eastAsia="Times New Roman" w:hAnsi="Times New Roman" w:cs="Times New Roman"/>
          <w:color w:val="000000"/>
          <w:sz w:val="24"/>
          <w:szCs w:val="24"/>
          <w:lang w:val="en-GB" w:eastAsia="en-GB"/>
        </w:rPr>
        <w:t> 2015. [Last accessed on 2020 Feb 24]. p. 31. Available from: </w:t>
      </w:r>
      <w:hyperlink r:id="rId21" w:history="1">
        <w:r w:rsidR="00E903EE" w:rsidRPr="00E903EE">
          <w:rPr>
            <w:rFonts w:ascii="Times New Roman" w:eastAsia="Times New Roman" w:hAnsi="Times New Roman" w:cs="Times New Roman"/>
            <w:color w:val="2F4A8B"/>
            <w:sz w:val="24"/>
            <w:szCs w:val="24"/>
            <w:u w:val="single"/>
            <w:lang w:val="en-GB" w:eastAsia="en-GB"/>
          </w:rPr>
          <w:t>https://apps.who.int/iris/bitstream/handle/10665/189763/9789241209946_eng.pdf; jsessionid=1A8F9E6BBB9BC6DB622EF371E6C6F4DC?sequence=1</w:t>
        </w:r>
      </w:hyperlink>
      <w:r w:rsidR="00E903EE" w:rsidRPr="00E903EE">
        <w:rPr>
          <w:rFonts w:ascii="Times New Roman" w:eastAsia="Times New Roman" w:hAnsi="Times New Roman" w:cs="Times New Roman"/>
          <w:color w:val="000000"/>
          <w:sz w:val="24"/>
          <w:szCs w:val="24"/>
          <w:lang w:val="en-GB" w:eastAsia="en-GB"/>
        </w:rPr>
        <w:t> .</w:t>
      </w:r>
    </w:p>
    <w:p w:rsidR="00E903EE" w:rsidRPr="00E903EE" w:rsidRDefault="00A65F56" w:rsidP="00E903EE">
      <w:pPr>
        <w:widowControl/>
        <w:shd w:val="clear" w:color="auto" w:fill="FFFFFF"/>
        <w:spacing w:after="160"/>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5</w:t>
      </w:r>
      <w:r w:rsidR="00E903EE" w:rsidRPr="00E903EE">
        <w:rPr>
          <w:rFonts w:ascii="Times New Roman" w:eastAsia="Times New Roman" w:hAnsi="Times New Roman" w:cs="Times New Roman"/>
          <w:color w:val="000000"/>
          <w:sz w:val="24"/>
          <w:szCs w:val="24"/>
          <w:lang w:val="en-GB" w:eastAsia="en-GB"/>
        </w:rPr>
        <w:t>. Rana P, Roy V, Ahmad J. Drug-induced optic neuropathy in a case of extensively drug-resistant pulmonary tuberculosis. </w:t>
      </w:r>
      <w:r w:rsidR="00E903EE" w:rsidRPr="00E903EE">
        <w:rPr>
          <w:rFonts w:ascii="Times New Roman" w:eastAsia="Times New Roman" w:hAnsi="Times New Roman" w:cs="Times New Roman"/>
          <w:i/>
          <w:iCs/>
          <w:color w:val="000000"/>
          <w:sz w:val="24"/>
          <w:szCs w:val="24"/>
          <w:lang w:val="en-GB" w:eastAsia="en-GB"/>
        </w:rPr>
        <w:t>J Basic Clin Physiol Pharmacol. </w:t>
      </w:r>
      <w:proofErr w:type="gramStart"/>
      <w:r w:rsidR="00E903EE" w:rsidRPr="00E903EE">
        <w:rPr>
          <w:rFonts w:ascii="Times New Roman" w:eastAsia="Times New Roman" w:hAnsi="Times New Roman" w:cs="Times New Roman"/>
          <w:color w:val="000000"/>
          <w:sz w:val="24"/>
          <w:szCs w:val="24"/>
          <w:lang w:val="en-GB" w:eastAsia="en-GB"/>
        </w:rPr>
        <w:t>2018;30:139</w:t>
      </w:r>
      <w:proofErr w:type="gramEnd"/>
      <w:r w:rsidR="00E903EE" w:rsidRPr="00E903EE">
        <w:rPr>
          <w:rFonts w:ascii="Times New Roman" w:eastAsia="Times New Roman" w:hAnsi="Times New Roman" w:cs="Times New Roman"/>
          <w:color w:val="000000"/>
          <w:sz w:val="24"/>
          <w:szCs w:val="24"/>
          <w:lang w:val="en-GB" w:eastAsia="en-GB"/>
        </w:rPr>
        <w:t>–40. [</w:t>
      </w:r>
      <w:hyperlink r:id="rId22" w:history="1">
        <w:r w:rsidR="00E903EE" w:rsidRPr="00E903EE">
          <w:rPr>
            <w:rFonts w:ascii="Times New Roman" w:eastAsia="Times New Roman" w:hAnsi="Times New Roman" w:cs="Times New Roman"/>
            <w:color w:val="2F4A8B"/>
            <w:sz w:val="24"/>
            <w:szCs w:val="24"/>
            <w:u w:val="single"/>
            <w:lang w:val="en-GB" w:eastAsia="en-GB"/>
          </w:rPr>
          <w:t>PubMed</w:t>
        </w:r>
      </w:hyperlink>
      <w:r w:rsidR="00E903EE" w:rsidRPr="00E903EE">
        <w:rPr>
          <w:rFonts w:ascii="Times New Roman" w:eastAsia="Times New Roman" w:hAnsi="Times New Roman" w:cs="Times New Roman"/>
          <w:color w:val="000000"/>
          <w:sz w:val="24"/>
          <w:szCs w:val="24"/>
          <w:lang w:val="en-GB" w:eastAsia="en-GB"/>
        </w:rPr>
        <w:t>] [</w:t>
      </w:r>
      <w:hyperlink r:id="rId23" w:tgtFrame="_blank" w:history="1">
        <w:r w:rsidR="00E903EE" w:rsidRPr="00E903EE">
          <w:rPr>
            <w:rFonts w:ascii="Times New Roman" w:eastAsia="Times New Roman" w:hAnsi="Times New Roman" w:cs="Times New Roman"/>
            <w:color w:val="2F4A8B"/>
            <w:sz w:val="24"/>
            <w:szCs w:val="24"/>
            <w:u w:val="single"/>
            <w:lang w:val="en-GB" w:eastAsia="en-GB"/>
          </w:rPr>
          <w:t>Google Scholar</w:t>
        </w:r>
      </w:hyperlink>
      <w:r>
        <w:rPr>
          <w:rFonts w:ascii="Times New Roman" w:eastAsia="Times New Roman" w:hAnsi="Times New Roman" w:cs="Times New Roman"/>
          <w:color w:val="000000"/>
          <w:sz w:val="24"/>
          <w:szCs w:val="24"/>
          <w:lang w:val="en-GB" w:eastAsia="en-GB"/>
        </w:rPr>
        <w:t xml:space="preserve"> 6</w:t>
      </w:r>
      <w:r w:rsidR="00E903EE" w:rsidRPr="00E903EE">
        <w:rPr>
          <w:rFonts w:ascii="Times New Roman" w:eastAsia="Times New Roman" w:hAnsi="Times New Roman" w:cs="Times New Roman"/>
          <w:color w:val="000000"/>
          <w:sz w:val="24"/>
          <w:szCs w:val="24"/>
          <w:lang w:val="en-GB" w:eastAsia="en-GB"/>
        </w:rPr>
        <w:t>. Mehta S, Das M, Laxmeshwar C, Jonckheere S, Thi SS, Isaakidis P. Linezolid-associated optic neuropathy in drug-resistant tuberculosis patients in Mumbai, India. </w:t>
      </w:r>
      <w:r w:rsidR="00E903EE" w:rsidRPr="00E903EE">
        <w:rPr>
          <w:rFonts w:ascii="Times New Roman" w:eastAsia="Times New Roman" w:hAnsi="Times New Roman" w:cs="Times New Roman"/>
          <w:i/>
          <w:iCs/>
          <w:color w:val="000000"/>
          <w:sz w:val="24"/>
          <w:szCs w:val="24"/>
          <w:lang w:val="en-GB" w:eastAsia="en-GB"/>
        </w:rPr>
        <w:t>PLoS One. </w:t>
      </w:r>
      <w:r w:rsidR="00E903EE" w:rsidRPr="00E903EE">
        <w:rPr>
          <w:rFonts w:ascii="Times New Roman" w:eastAsia="Times New Roman" w:hAnsi="Times New Roman" w:cs="Times New Roman"/>
          <w:color w:val="000000"/>
          <w:sz w:val="24"/>
          <w:szCs w:val="24"/>
          <w:lang w:val="en-GB" w:eastAsia="en-GB"/>
        </w:rPr>
        <w:t>2016;</w:t>
      </w:r>
      <w:proofErr w:type="gramStart"/>
      <w:r w:rsidR="00E903EE" w:rsidRPr="00E903EE">
        <w:rPr>
          <w:rFonts w:ascii="Times New Roman" w:eastAsia="Times New Roman" w:hAnsi="Times New Roman" w:cs="Times New Roman"/>
          <w:color w:val="000000"/>
          <w:sz w:val="24"/>
          <w:szCs w:val="24"/>
          <w:lang w:val="en-GB" w:eastAsia="en-GB"/>
        </w:rPr>
        <w:t>11:e</w:t>
      </w:r>
      <w:proofErr w:type="gramEnd"/>
      <w:r w:rsidR="00E903EE" w:rsidRPr="00E903EE">
        <w:rPr>
          <w:rFonts w:ascii="Times New Roman" w:eastAsia="Times New Roman" w:hAnsi="Times New Roman" w:cs="Times New Roman"/>
          <w:color w:val="000000"/>
          <w:sz w:val="24"/>
          <w:szCs w:val="24"/>
          <w:lang w:val="en-GB" w:eastAsia="en-GB"/>
        </w:rPr>
        <w:t>0162138. [</w:t>
      </w:r>
      <w:hyperlink r:id="rId24" w:history="1">
        <w:r w:rsidR="00E903EE" w:rsidRPr="00E903EE">
          <w:rPr>
            <w:rFonts w:ascii="Times New Roman" w:eastAsia="Times New Roman" w:hAnsi="Times New Roman" w:cs="Times New Roman"/>
            <w:color w:val="2F4A8B"/>
            <w:sz w:val="24"/>
            <w:szCs w:val="24"/>
            <w:u w:val="single"/>
            <w:lang w:val="en-GB" w:eastAsia="en-GB"/>
          </w:rPr>
          <w:t>PMC free article</w:t>
        </w:r>
      </w:hyperlink>
      <w:r w:rsidR="00E903EE" w:rsidRPr="00E903EE">
        <w:rPr>
          <w:rFonts w:ascii="Times New Roman" w:eastAsia="Times New Roman" w:hAnsi="Times New Roman" w:cs="Times New Roman"/>
          <w:color w:val="000000"/>
          <w:sz w:val="24"/>
          <w:szCs w:val="24"/>
          <w:lang w:val="en-GB" w:eastAsia="en-GB"/>
        </w:rPr>
        <w:t>] [</w:t>
      </w:r>
      <w:hyperlink r:id="rId25" w:history="1">
        <w:r w:rsidR="00E903EE" w:rsidRPr="00E903EE">
          <w:rPr>
            <w:rFonts w:ascii="Times New Roman" w:eastAsia="Times New Roman" w:hAnsi="Times New Roman" w:cs="Times New Roman"/>
            <w:color w:val="2F4A8B"/>
            <w:sz w:val="24"/>
            <w:szCs w:val="24"/>
            <w:u w:val="single"/>
            <w:lang w:val="en-GB" w:eastAsia="en-GB"/>
          </w:rPr>
          <w:t>PubMed</w:t>
        </w:r>
      </w:hyperlink>
      <w:r w:rsidR="00E903EE" w:rsidRPr="00E903EE">
        <w:rPr>
          <w:rFonts w:ascii="Times New Roman" w:eastAsia="Times New Roman" w:hAnsi="Times New Roman" w:cs="Times New Roman"/>
          <w:color w:val="000000"/>
          <w:sz w:val="24"/>
          <w:szCs w:val="24"/>
          <w:lang w:val="en-GB" w:eastAsia="en-GB"/>
        </w:rPr>
        <w:t>] [</w:t>
      </w:r>
      <w:hyperlink r:id="rId26" w:tgtFrame="_blank" w:history="1">
        <w:r w:rsidR="00E903EE" w:rsidRPr="00E903EE">
          <w:rPr>
            <w:rFonts w:ascii="Times New Roman" w:eastAsia="Times New Roman" w:hAnsi="Times New Roman" w:cs="Times New Roman"/>
            <w:color w:val="2F4A8B"/>
            <w:sz w:val="24"/>
            <w:szCs w:val="24"/>
            <w:u w:val="single"/>
            <w:lang w:val="en-GB" w:eastAsia="en-GB"/>
          </w:rPr>
          <w:t>Google Scholar</w:t>
        </w:r>
      </w:hyperlink>
      <w:r w:rsidR="00E903EE" w:rsidRPr="00E903EE">
        <w:rPr>
          <w:rFonts w:ascii="Times New Roman" w:eastAsia="Times New Roman" w:hAnsi="Times New Roman" w:cs="Times New Roman"/>
          <w:color w:val="000000"/>
          <w:sz w:val="24"/>
          <w:szCs w:val="24"/>
          <w:lang w:val="en-GB" w:eastAsia="en-GB"/>
        </w:rPr>
        <w:t>]</w:t>
      </w:r>
    </w:p>
    <w:p w:rsidR="005973B9" w:rsidRDefault="00A65F56" w:rsidP="00F2622E">
      <w:pPr>
        <w:widowControl/>
        <w:shd w:val="clear" w:color="auto" w:fill="FFFFFF"/>
        <w:spacing w:after="160"/>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7</w:t>
      </w:r>
      <w:r w:rsidR="00E903EE" w:rsidRPr="00E903EE">
        <w:rPr>
          <w:rFonts w:ascii="Times New Roman" w:eastAsia="Times New Roman" w:hAnsi="Times New Roman" w:cs="Times New Roman"/>
          <w:color w:val="000000"/>
          <w:sz w:val="24"/>
          <w:szCs w:val="24"/>
          <w:lang w:val="en-GB" w:eastAsia="en-GB"/>
        </w:rPr>
        <w:t>. Ishii N, Kinouchi R, Inoue M, Yoshida A. Linezolid-induced optic neuropathy with a rare pathological change in the inner retina. </w:t>
      </w:r>
      <w:r w:rsidR="00E903EE" w:rsidRPr="00E903EE">
        <w:rPr>
          <w:rFonts w:ascii="Times New Roman" w:eastAsia="Times New Roman" w:hAnsi="Times New Roman" w:cs="Times New Roman"/>
          <w:i/>
          <w:iCs/>
          <w:color w:val="000000"/>
          <w:sz w:val="24"/>
          <w:szCs w:val="24"/>
          <w:lang w:val="en-GB" w:eastAsia="en-GB"/>
        </w:rPr>
        <w:t>Int Ophthalmol. </w:t>
      </w:r>
      <w:proofErr w:type="gramStart"/>
      <w:r w:rsidR="00E903EE" w:rsidRPr="00E903EE">
        <w:rPr>
          <w:rFonts w:ascii="Times New Roman" w:eastAsia="Times New Roman" w:hAnsi="Times New Roman" w:cs="Times New Roman"/>
          <w:color w:val="000000"/>
          <w:sz w:val="24"/>
          <w:szCs w:val="24"/>
          <w:lang w:val="en-GB" w:eastAsia="en-GB"/>
        </w:rPr>
        <w:t>2016;36:761</w:t>
      </w:r>
      <w:proofErr w:type="gramEnd"/>
      <w:r w:rsidR="00E903EE" w:rsidRPr="00E903EE">
        <w:rPr>
          <w:rFonts w:ascii="Times New Roman" w:eastAsia="Times New Roman" w:hAnsi="Times New Roman" w:cs="Times New Roman"/>
          <w:color w:val="000000"/>
          <w:sz w:val="24"/>
          <w:szCs w:val="24"/>
          <w:lang w:val="en-GB" w:eastAsia="en-GB"/>
        </w:rPr>
        <w:t>–6. [</w:t>
      </w:r>
      <w:hyperlink r:id="rId27" w:history="1">
        <w:r w:rsidR="00E903EE" w:rsidRPr="00E903EE">
          <w:rPr>
            <w:rFonts w:ascii="Times New Roman" w:eastAsia="Times New Roman" w:hAnsi="Times New Roman" w:cs="Times New Roman"/>
            <w:color w:val="2F4A8B"/>
            <w:sz w:val="24"/>
            <w:szCs w:val="24"/>
            <w:u w:val="single"/>
            <w:lang w:val="en-GB" w:eastAsia="en-GB"/>
          </w:rPr>
          <w:t>PubMed</w:t>
        </w:r>
      </w:hyperlink>
      <w:r w:rsidR="00E903EE" w:rsidRPr="00E903EE">
        <w:rPr>
          <w:rFonts w:ascii="Times New Roman" w:eastAsia="Times New Roman" w:hAnsi="Times New Roman" w:cs="Times New Roman"/>
          <w:color w:val="000000"/>
          <w:sz w:val="24"/>
          <w:szCs w:val="24"/>
          <w:lang w:val="en-GB" w:eastAsia="en-GB"/>
        </w:rPr>
        <w:t>] [</w:t>
      </w:r>
      <w:hyperlink r:id="rId28" w:tgtFrame="_blank" w:history="1">
        <w:r w:rsidR="00E903EE" w:rsidRPr="00E903EE">
          <w:rPr>
            <w:rFonts w:ascii="Times New Roman" w:eastAsia="Times New Roman" w:hAnsi="Times New Roman" w:cs="Times New Roman"/>
            <w:color w:val="2F4A8B"/>
            <w:sz w:val="24"/>
            <w:szCs w:val="24"/>
            <w:u w:val="single"/>
            <w:lang w:val="en-GB" w:eastAsia="en-GB"/>
          </w:rPr>
          <w:t>Google Scholar</w:t>
        </w:r>
      </w:hyperlink>
    </w:p>
    <w:p w:rsidR="00F2622E" w:rsidRPr="00F2622E" w:rsidRDefault="003758BF" w:rsidP="00F2622E">
      <w:pPr>
        <w:widowControl/>
        <w:shd w:val="clear" w:color="auto" w:fill="FFFFFF"/>
        <w:spacing w:after="160"/>
        <w:rPr>
          <w:rFonts w:ascii="Times New Roman" w:eastAsia="Times New Roman" w:hAnsi="Times New Roman" w:cs="Times New Roman"/>
          <w:color w:val="000000"/>
          <w:sz w:val="24"/>
          <w:szCs w:val="24"/>
          <w:lang w:val="en-GB" w:eastAsia="en-GB"/>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14:anchorId="5734E14D" wp14:editId="22B42B14">
                <wp:simplePos x="0" y="0"/>
                <wp:positionH relativeFrom="column">
                  <wp:posOffset>5659755</wp:posOffset>
                </wp:positionH>
                <wp:positionV relativeFrom="paragraph">
                  <wp:posOffset>196850</wp:posOffset>
                </wp:positionV>
                <wp:extent cx="1600200" cy="1578610"/>
                <wp:effectExtent l="19050" t="19050" r="19050" b="2159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57861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8F4FDA" w:rsidP="00A52075">
                            <w:pPr>
                              <w:rPr>
                                <w:b/>
                                <w:color w:val="0000FF"/>
                                <w:lang w:val="en-IN"/>
                              </w:rPr>
                            </w:pPr>
                            <w:r>
                              <w:rPr>
                                <w:noProof/>
                                <w:lang w:val="en-GB" w:eastAsia="en-GB"/>
                              </w:rPr>
                              <w:drawing>
                                <wp:inline distT="0" distB="0" distL="0" distR="0" wp14:anchorId="73D210F7" wp14:editId="5CE1BEA7">
                                  <wp:extent cx="1336964" cy="111633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38131" cy="1117304"/>
                                          </a:xfrm>
                                          <a:prstGeom prst="rect">
                                            <a:avLst/>
                                          </a:prstGeom>
                                        </pic:spPr>
                                      </pic:pic>
                                    </a:graphicData>
                                  </a:graphic>
                                </wp:inline>
                              </w:drawing>
                            </w:r>
                            <w:r>
                              <w:rPr>
                                <w:noProof/>
                                <w:lang w:val="en-GB" w:eastAsia="en-GB"/>
                              </w:rPr>
                              <w:drawing>
                                <wp:inline distT="0" distB="0" distL="0" distR="0" wp14:anchorId="5B5BEE4C" wp14:editId="70D1CD72">
                                  <wp:extent cx="741680" cy="375229"/>
                                  <wp:effectExtent l="0" t="0" r="1270" b="6350"/>
                                  <wp:docPr id="10" name="Picture 2" descr="Image result for Ministry of Health Logo Malawi. Size: 216 x 110. Source: socialinnovationinhealth.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Ministry of Health Logo Malawi. Size: 216 x 110. Source: socialinnovationinhealth.or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41680" cy="375229"/>
                                          </a:xfrm>
                                          <a:prstGeom prst="rect">
                                            <a:avLst/>
                                          </a:prstGeom>
                                          <a:noFill/>
                                          <a:ln>
                                            <a:noFill/>
                                          </a:ln>
                                        </pic:spPr>
                                      </pic:pic>
                                    </a:graphicData>
                                  </a:graphic>
                                </wp:inline>
                              </w:drawing>
                            </w:r>
                            <w:r w:rsidR="00A52075">
                              <w:rPr>
                                <w:b/>
                                <w:color w:val="0000FF"/>
                                <w:lang w:val="en-IN"/>
                              </w:rPr>
                              <w:t>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734E14D" id="Rounded Rectangle 2" o:spid="_x0000_s1028" style="position:absolute;margin-left:445.65pt;margin-top:15.5pt;width:126pt;height:12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" strokecolor="#9bbb59" strokeweight="2.5pt">
                <v:shadow color="#868686"/>
                <v:textbox>
                  <w:txbxContent>
                    <w:p w:rsidR="00A52075" w:rsidRDefault="008F4FDA" w:rsidP="00A52075">
                      <w:pPr>
                        <w:rPr>
                          <w:b/>
                          <w:color w:val="0000FF"/>
                          <w:lang w:val="en-IN"/>
                        </w:rPr>
                      </w:pPr>
                      <w:r>
                        <w:rPr>
                          <w:noProof/>
                          <w:lang w:val="en-GB" w:eastAsia="en-GB"/>
                        </w:rPr>
                        <w:drawing>
                          <wp:inline distT="0" distB="0" distL="0" distR="0" wp14:anchorId="73D210F7" wp14:editId="5CE1BEA7">
                            <wp:extent cx="1336964" cy="111633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38131" cy="1117304"/>
                                    </a:xfrm>
                                    <a:prstGeom prst="rect">
                                      <a:avLst/>
                                    </a:prstGeom>
                                  </pic:spPr>
                                </pic:pic>
                              </a:graphicData>
                            </a:graphic>
                          </wp:inline>
                        </w:drawing>
                      </w:r>
                      <w:r>
                        <w:rPr>
                          <w:noProof/>
                          <w:lang w:val="en-GB" w:eastAsia="en-GB"/>
                        </w:rPr>
                        <w:drawing>
                          <wp:inline distT="0" distB="0" distL="0" distR="0" wp14:anchorId="5B5BEE4C" wp14:editId="70D1CD72">
                            <wp:extent cx="741680" cy="375229"/>
                            <wp:effectExtent l="0" t="0" r="1270" b="6350"/>
                            <wp:docPr id="10" name="Picture 2" descr="Image result for Ministry of Health Logo Malawi. Size: 216 x 110. Source: socialinnovationinhealth.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Ministry of Health Logo Malawi. Size: 216 x 110. Source: socialinnovationinhealth.or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41680" cy="375229"/>
                                    </a:xfrm>
                                    <a:prstGeom prst="rect">
                                      <a:avLst/>
                                    </a:prstGeom>
                                    <a:noFill/>
                                    <a:ln>
                                      <a:noFill/>
                                    </a:ln>
                                  </pic:spPr>
                                </pic:pic>
                              </a:graphicData>
                            </a:graphic>
                          </wp:inline>
                        </w:drawing>
                      </w:r>
                      <w:r w:rsidR="00A52075">
                        <w:rPr>
                          <w:b/>
                          <w:color w:val="0000FF"/>
                          <w:lang w:val="en-IN"/>
                        </w:rPr>
                        <w:t>go here</w:t>
                      </w:r>
                    </w:p>
                  </w:txbxContent>
                </v:textbox>
              </v:roundrect>
            </w:pict>
          </mc:Fallback>
        </mc:AlternateContent>
      </w:r>
    </w:p>
    <w:p w:rsidR="00AE3E37" w:rsidRPr="00F2622E" w:rsidRDefault="00F2622E" w:rsidP="00F2622E">
      <w:pPr>
        <w:pStyle w:val="BodyText"/>
        <w:spacing w:line="218" w:lineRule="exact"/>
        <w:ind w:left="383"/>
        <w:rPr>
          <w:rFonts w:ascii="Calibri"/>
        </w:rPr>
      </w:pPr>
      <w:r w:rsidRPr="008756E6">
        <w:t xml:space="preserve"> </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644418A4" wp14:editId="23723D5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51E29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8F4FDA" w:rsidRDefault="008756E6" w:rsidP="008F4FDA">
      <w:pPr>
        <w:spacing w:before="92"/>
        <w:ind w:right="4234"/>
        <w:rPr>
          <w:noProof/>
        </w:rPr>
      </w:pPr>
      <w:r>
        <w:rPr>
          <w:noProof/>
        </w:rPr>
        <w:t xml:space="preserve">      </w:t>
      </w:r>
    </w:p>
    <w:p w:rsidR="008F4FDA" w:rsidRDefault="008756E6" w:rsidP="008F4FDA">
      <w:pPr>
        <w:spacing w:before="92"/>
        <w:ind w:right="4234"/>
        <w:rPr>
          <w:rFonts w:ascii="Arial"/>
          <w:color w:val="BF5A14"/>
        </w:rPr>
      </w:pPr>
      <w:r>
        <w:rPr>
          <w:noProof/>
        </w:rPr>
        <w:t xml:space="preserve">        </w:t>
      </w:r>
      <w:r w:rsidR="00623076">
        <w:rPr>
          <w:noProof/>
          <w:lang w:val="en-GB" w:eastAsia="en-GB"/>
        </w:rPr>
        <w:drawing>
          <wp:inline distT="0" distB="0" distL="0" distR="0" wp14:anchorId="24AACB70" wp14:editId="3042BCBA">
            <wp:extent cx="1005840" cy="9525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05840" cy="952500"/>
                    </a:xfrm>
                    <a:prstGeom prst="rect">
                      <a:avLst/>
                    </a:prstGeom>
                  </pic:spPr>
                </pic:pic>
              </a:graphicData>
            </a:graphic>
          </wp:inline>
        </w:drawing>
      </w:r>
      <w:r>
        <w:rPr>
          <w:noProof/>
          <w:lang w:val="en-GB" w:eastAsia="en-GB"/>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8F4FDA">
        <w:rPr>
          <w:rFonts w:ascii="Arial"/>
          <w:color w:val="BF5A14"/>
        </w:rPr>
        <w:t xml:space="preserve"> (</w:t>
      </w:r>
      <w:proofErr w:type="gramStart"/>
      <w:r w:rsidR="008F4FDA">
        <w:rPr>
          <w:rFonts w:ascii="Arial"/>
          <w:color w:val="BF5A14"/>
        </w:rPr>
        <w:t>150 word</w:t>
      </w:r>
      <w:proofErr w:type="gramEnd"/>
      <w:r w:rsidR="008F4FDA">
        <w:rPr>
          <w:rFonts w:ascii="Arial"/>
          <w:color w:val="BF5A14"/>
        </w:rPr>
        <w:t xml:space="preserve"> limit)</w:t>
      </w:r>
    </w:p>
    <w:p w:rsidR="008F4FDA" w:rsidRDefault="008F4FDA" w:rsidP="008F4FDA">
      <w:pPr>
        <w:spacing w:before="92"/>
        <w:ind w:right="4234"/>
        <w:rPr>
          <w:rFonts w:ascii="Arial"/>
          <w:color w:val="BF5A14"/>
        </w:rPr>
      </w:pPr>
    </w:p>
    <w:p w:rsidR="00AE3E37" w:rsidRPr="008F4FDA" w:rsidRDefault="008F4FDA" w:rsidP="008F4FDA">
      <w:pPr>
        <w:spacing w:before="92"/>
        <w:ind w:right="4234"/>
        <w:rPr>
          <w:rFonts w:ascii="Arial"/>
        </w:rPr>
      </w:pPr>
      <w:r w:rsidRPr="008F4FDA">
        <w:rPr>
          <w:rFonts w:ascii="Arial"/>
          <w:color w:val="BF5A14"/>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Rebecca</w:t>
      </w:r>
      <w:r>
        <w:rPr>
          <w:rFonts w:ascii="Arial"/>
          <w:color w:val="BF5A14"/>
        </w:rPr>
        <w:t xml:space="preserve"> </w:t>
      </w:r>
      <w:r w:rsidRPr="008F4FDA">
        <w:rPr>
          <w:rFonts w:ascii="Arial"/>
          <w:b/>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Karimu </w:t>
      </w:r>
      <w:proofErr w:type="gramStart"/>
      <w:r w:rsidRPr="008F4FDA">
        <w:rPr>
          <w:rFonts w:ascii="Arial"/>
          <w:b/>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Mtambo</w:t>
      </w:r>
      <w:r>
        <w:rPr>
          <w:rFonts w:ascii="Arial"/>
          <w:color w:val="BF5A14"/>
        </w:rPr>
        <w:t xml:space="preserve">  </w:t>
      </w:r>
      <w:r w:rsidR="00A9710C">
        <w:rPr>
          <w:rFonts w:ascii="Arial"/>
          <w:sz w:val="14"/>
        </w:rPr>
        <w:t>has</w:t>
      </w:r>
      <w:proofErr w:type="gramEnd"/>
      <w:r w:rsidR="00A9710C">
        <w:rPr>
          <w:rFonts w:ascii="Arial"/>
          <w:sz w:val="14"/>
        </w:rPr>
        <w:t xml:space="preserve"> her expertise in evaluation and passion in improving the health and wellbeing</w:t>
      </w:r>
      <w:r w:rsidR="00D36021">
        <w:rPr>
          <w:rFonts w:ascii="Arial"/>
          <w:sz w:val="14"/>
        </w:rPr>
        <w:t xml:space="preserve"> among TB Patients</w:t>
      </w:r>
      <w:r w:rsidR="00A9710C">
        <w:rPr>
          <w:rFonts w:ascii="Arial"/>
          <w:sz w:val="14"/>
        </w:rPr>
        <w:t>.</w:t>
      </w:r>
      <w:r>
        <w:rPr>
          <w:rFonts w:ascii="Arial"/>
          <w:sz w:val="14"/>
        </w:rPr>
        <w:t xml:space="preserve"> She </w:t>
      </w:r>
      <w:r w:rsidR="00D36021">
        <w:rPr>
          <w:rFonts w:ascii="Arial"/>
          <w:sz w:val="14"/>
        </w:rPr>
        <w:t xml:space="preserve">is the National DRTB Mentor in </w:t>
      </w:r>
      <w:r w:rsidR="00A65F56">
        <w:rPr>
          <w:rFonts w:ascii="Arial"/>
          <w:sz w:val="14"/>
        </w:rPr>
        <w:t>Malawi, she</w:t>
      </w:r>
      <w:r w:rsidR="00D36021">
        <w:rPr>
          <w:rFonts w:ascii="Arial"/>
          <w:sz w:val="14"/>
        </w:rPr>
        <w:t xml:space="preserve"> has championed treating patients on Linezolid based regimen for the drug </w:t>
      </w:r>
      <w:proofErr w:type="gramStart"/>
      <w:r w:rsidR="00D36021">
        <w:rPr>
          <w:rFonts w:ascii="Arial"/>
          <w:sz w:val="14"/>
        </w:rPr>
        <w:t xml:space="preserve">resistance </w:t>
      </w:r>
      <w:r w:rsidR="008F6432">
        <w:rPr>
          <w:rFonts w:ascii="Arial"/>
          <w:sz w:val="14"/>
        </w:rPr>
        <w:t xml:space="preserve"> Tuberculosis</w:t>
      </w:r>
      <w:proofErr w:type="gramEnd"/>
      <w:r w:rsidR="00D36021">
        <w:rPr>
          <w:rFonts w:ascii="Arial"/>
          <w:sz w:val="14"/>
        </w:rPr>
        <w:t xml:space="preserve">. She is also IPC </w:t>
      </w:r>
      <w:proofErr w:type="gramStart"/>
      <w:r w:rsidR="00D36021">
        <w:rPr>
          <w:rFonts w:ascii="Arial"/>
          <w:sz w:val="14"/>
        </w:rPr>
        <w:t>WASH</w:t>
      </w:r>
      <w:r w:rsidR="00A447D5">
        <w:rPr>
          <w:rFonts w:ascii="Arial"/>
          <w:sz w:val="14"/>
        </w:rPr>
        <w:t xml:space="preserve"> </w:t>
      </w:r>
      <w:r w:rsidR="00D36021">
        <w:rPr>
          <w:rFonts w:ascii="Arial"/>
          <w:sz w:val="14"/>
        </w:rPr>
        <w:t xml:space="preserve"> trainer</w:t>
      </w:r>
      <w:proofErr w:type="gramEnd"/>
      <w:r w:rsidR="00D36021">
        <w:rPr>
          <w:rFonts w:ascii="Arial"/>
          <w:sz w:val="14"/>
        </w:rPr>
        <w:t xml:space="preserve"> and supervisor, she is a TB /HIV supervisor.  </w:t>
      </w:r>
      <w:r w:rsidR="00A9710C">
        <w:rPr>
          <w:rFonts w:ascii="Arial"/>
          <w:sz w:val="14"/>
        </w:rPr>
        <w:t xml:space="preserve">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65F56">
        <w:rPr>
          <w:rFonts w:ascii="Arial"/>
          <w:sz w:val="14"/>
        </w:rPr>
        <w:t>healthcare</w:t>
      </w:r>
      <w:r w:rsidR="0091169D">
        <w:rPr>
          <w:rFonts w:ascii="Arial"/>
          <w:sz w:val="14"/>
        </w:rPr>
        <w:t xml:space="preserve">. </w:t>
      </w:r>
      <w:r w:rsidR="00A447D5">
        <w:rPr>
          <w:rFonts w:ascii="Arial"/>
          <w:sz w:val="14"/>
        </w:rPr>
        <w:t xml:space="preserve"> </w:t>
      </w:r>
      <w:r w:rsidR="00D36021">
        <w:rPr>
          <w:rFonts w:ascii="Arial"/>
          <w:sz w:val="14"/>
        </w:rPr>
        <w:t xml:space="preserve">Rebecca is currently working at Ministry of Health </w:t>
      </w:r>
      <w:proofErr w:type="gramStart"/>
      <w:r w:rsidR="00D36021">
        <w:rPr>
          <w:rFonts w:ascii="Arial"/>
          <w:sz w:val="14"/>
        </w:rPr>
        <w:t>Malawi ,Quality</w:t>
      </w:r>
      <w:proofErr w:type="gramEnd"/>
      <w:r w:rsidR="00D36021">
        <w:rPr>
          <w:rFonts w:ascii="Arial"/>
          <w:sz w:val="14"/>
        </w:rPr>
        <w:t xml:space="preserve"> Management Direcorate Centr</w:t>
      </w:r>
      <w:r w:rsidR="00A447D5">
        <w:rPr>
          <w:rFonts w:ascii="Arial"/>
          <w:sz w:val="14"/>
        </w:rPr>
        <w:t>al West Satellite.</w:t>
      </w:r>
      <w:r w:rsidR="0091169D">
        <w:rPr>
          <w:rFonts w:ascii="Arial"/>
          <w:sz w:val="14"/>
        </w:rPr>
        <w:t xml:space="preserve"> She is the desk Officer for the TB &amp; Leprosy Elimination Programme under supervision from the National TB Control Programme. Her Co duties include coordinating IPC/WASH and Hospital Ombuldsman in the satellite Office under supervision of Quality Management Directorate.</w:t>
      </w:r>
      <w:r w:rsidR="008F6432">
        <w:rPr>
          <w:rFonts w:ascii="Arial"/>
          <w:sz w:val="14"/>
        </w:rPr>
        <w:t xml:space="preserve"> She has passion in the field of research and publication. She is a quality Management Officer.</w:t>
      </w:r>
      <w:bookmarkStart w:id="0" w:name="_GoBack"/>
      <w:bookmarkEnd w:id="0"/>
    </w:p>
    <w:p w:rsidR="00AE3E37" w:rsidRDefault="00A9710C">
      <w:pPr>
        <w:spacing w:before="62"/>
        <w:ind w:left="4217" w:right="4235"/>
        <w:jc w:val="center"/>
        <w:rPr>
          <w:rFonts w:ascii="Arial"/>
          <w:sz w:val="14"/>
        </w:rPr>
      </w:pPr>
      <w:r>
        <w:rPr>
          <w:rFonts w:ascii="Arial"/>
          <w:sz w:val="14"/>
        </w:rPr>
        <w:t xml:space="preserve">Email: </w:t>
      </w:r>
      <w:r w:rsidR="003758BF">
        <w:rPr>
          <w:rFonts w:ascii="Arial"/>
          <w:sz w:val="14"/>
        </w:rPr>
        <w:t>rebeccakarimu@gmail.com</w:t>
      </w:r>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AE8FE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A447D5">
        <w:rPr>
          <w:sz w:val="20"/>
          <w:szCs w:val="20"/>
          <w:lang w:val="en-NZ"/>
        </w:rPr>
        <w:t>Rebecca Karimu Mtambo</w:t>
      </w:r>
      <w:r w:rsidRPr="00F35A62">
        <w:rPr>
          <w:sz w:val="20"/>
          <w:szCs w:val="20"/>
          <w:lang w:val="en-NZ"/>
        </w:rPr>
        <w:br/>
        <w:t>Contact number:</w:t>
      </w:r>
      <w:r w:rsidR="00A447D5">
        <w:rPr>
          <w:sz w:val="20"/>
          <w:szCs w:val="20"/>
          <w:lang w:val="en-NZ"/>
        </w:rPr>
        <w:t>+265 881 997897</w:t>
      </w:r>
      <w:r w:rsidRPr="00F35A62">
        <w:rPr>
          <w:sz w:val="20"/>
          <w:szCs w:val="20"/>
          <w:lang w:val="en-NZ"/>
        </w:rPr>
        <w:br/>
        <w:t>Twitter account:</w:t>
      </w:r>
      <w:r w:rsidRPr="00F35A62">
        <w:rPr>
          <w:sz w:val="20"/>
          <w:szCs w:val="20"/>
          <w:lang w:val="en-NZ"/>
        </w:rPr>
        <w:br/>
      </w:r>
      <w:r w:rsidRPr="00F35A62">
        <w:rPr>
          <w:sz w:val="20"/>
          <w:szCs w:val="20"/>
          <w:lang w:val="en-NZ"/>
        </w:rPr>
        <w:lastRenderedPageBreak/>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91169D">
        <w:rPr>
          <w:sz w:val="20"/>
          <w:szCs w:val="20"/>
          <w:lang w:val="en-NZ"/>
        </w:rPr>
        <w:t>ICT</w:t>
      </w:r>
      <w:r w:rsidRPr="00F35A62">
        <w:rPr>
          <w:sz w:val="20"/>
          <w:szCs w:val="20"/>
          <w:lang w:val="en-NZ"/>
        </w:rPr>
        <w:br/>
        <w:t>Category: (</w:t>
      </w:r>
      <w:r w:rsidRPr="00A447D5">
        <w:rPr>
          <w:color w:val="FF0000"/>
          <w:sz w:val="20"/>
          <w:szCs w:val="20"/>
          <w:u w:val="single"/>
          <w:lang w:val="en-NZ"/>
        </w:rPr>
        <w:t>Oral presentation</w:t>
      </w:r>
      <w:r w:rsidRPr="00F35A62">
        <w:rPr>
          <w:sz w:val="20"/>
          <w:szCs w:val="20"/>
          <w:lang w:val="en-NZ"/>
        </w:rPr>
        <w:t>/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97A" w:rsidRDefault="0006797A">
      <w:r>
        <w:separator/>
      </w:r>
    </w:p>
  </w:endnote>
  <w:endnote w:type="continuationSeparator" w:id="0">
    <w:p w:rsidR="0006797A" w:rsidRDefault="0006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97A" w:rsidRDefault="0006797A">
      <w:r>
        <w:separator/>
      </w:r>
    </w:p>
  </w:footnote>
  <w:footnote w:type="continuationSeparator" w:id="0">
    <w:p w:rsidR="0006797A" w:rsidRDefault="0006797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10"/>
  <w:activeWritingStyle w:appName="MSWord" w:lang="en-US" w:vendorID="64" w:dllVersion="131078" w:nlCheck="1" w:checkStyle="0"/>
  <w:activeWritingStyle w:appName="MSWord" w:lang="en-NZ" w:vendorID="64" w:dllVersion="131078" w:nlCheck="1" w:checkStyle="0"/>
  <w:activeWritingStyle w:appName="MSWord" w:lang="en-GB" w:vendorID="64" w:dllVersion="131078" w:nlCheck="1" w:checkStyle="0"/>
  <w:activeWritingStyle w:appName="MSWord" w:lang="en-IN" w:vendorID="64" w:dllVersion="131078" w:nlCheck="1" w:checkStyle="0"/>
  <w:proofState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5394"/>
    <w:rsid w:val="000534A1"/>
    <w:rsid w:val="000561D3"/>
    <w:rsid w:val="0006797A"/>
    <w:rsid w:val="000B4CAA"/>
    <w:rsid w:val="000E2911"/>
    <w:rsid w:val="001263DF"/>
    <w:rsid w:val="00292ED9"/>
    <w:rsid w:val="00351D9B"/>
    <w:rsid w:val="003758BF"/>
    <w:rsid w:val="00380299"/>
    <w:rsid w:val="003A1688"/>
    <w:rsid w:val="00404E5B"/>
    <w:rsid w:val="00414B7C"/>
    <w:rsid w:val="00414F7B"/>
    <w:rsid w:val="0042345A"/>
    <w:rsid w:val="004355DC"/>
    <w:rsid w:val="004749B4"/>
    <w:rsid w:val="00475D20"/>
    <w:rsid w:val="00494130"/>
    <w:rsid w:val="004F3523"/>
    <w:rsid w:val="00590D60"/>
    <w:rsid w:val="005973B9"/>
    <w:rsid w:val="005B3A56"/>
    <w:rsid w:val="006060CE"/>
    <w:rsid w:val="0061505C"/>
    <w:rsid w:val="00623076"/>
    <w:rsid w:val="0063497F"/>
    <w:rsid w:val="00636BBC"/>
    <w:rsid w:val="00701ED1"/>
    <w:rsid w:val="00714354"/>
    <w:rsid w:val="007375C6"/>
    <w:rsid w:val="00873DF0"/>
    <w:rsid w:val="008756E6"/>
    <w:rsid w:val="00897EC5"/>
    <w:rsid w:val="008A0763"/>
    <w:rsid w:val="008E5477"/>
    <w:rsid w:val="008F4FDA"/>
    <w:rsid w:val="008F6432"/>
    <w:rsid w:val="0091169D"/>
    <w:rsid w:val="009A774F"/>
    <w:rsid w:val="009B2D44"/>
    <w:rsid w:val="00A07E82"/>
    <w:rsid w:val="00A447D5"/>
    <w:rsid w:val="00A52075"/>
    <w:rsid w:val="00A65F56"/>
    <w:rsid w:val="00A9710C"/>
    <w:rsid w:val="00AE3E37"/>
    <w:rsid w:val="00B21A57"/>
    <w:rsid w:val="00BE3695"/>
    <w:rsid w:val="00BE6743"/>
    <w:rsid w:val="00C33602"/>
    <w:rsid w:val="00C56C74"/>
    <w:rsid w:val="00CD6F55"/>
    <w:rsid w:val="00D36021"/>
    <w:rsid w:val="00D66AF9"/>
    <w:rsid w:val="00DE3104"/>
    <w:rsid w:val="00DE6170"/>
    <w:rsid w:val="00E30AAC"/>
    <w:rsid w:val="00E903EE"/>
    <w:rsid w:val="00E95D97"/>
    <w:rsid w:val="00EA7D51"/>
    <w:rsid w:val="00F046EA"/>
    <w:rsid w:val="00F2622E"/>
    <w:rsid w:val="00F312EA"/>
    <w:rsid w:val="00F317FB"/>
    <w:rsid w:val="00F35A62"/>
    <w:rsid w:val="00F62C50"/>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E6FB268"/>
  <w15:docId w15:val="{79CF539B-6A3E-407F-9EC8-12AEE9613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045394"/>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s://www.ncbi.nlm.nih.gov/pmc/articles/PMC4064234/" TargetMode="External"/><Relationship Id="rId18" Type="http://schemas.openxmlformats.org/officeDocument/2006/relationships/hyperlink" Target="https://scholar.google.com/scholar_lookup?journal=Indian+J+Ophthalmol&amp;title=Comment+on+linezolid+induced+optic+neuropathy&amp;author=P+Chaitali&amp;author=R+Suresh&amp;volume=63&amp;publication_year=2015&amp;pages=75-6&amp;pmid=25686072&amp;" TargetMode="External"/><Relationship Id="rId26" Type="http://schemas.openxmlformats.org/officeDocument/2006/relationships/hyperlink" Target="https://scholar.google.com/scholar_lookup?journal=PLoS+One&amp;title=Linezolid-associated+optic+neuropathy+in+drug-resistant+tuberculosis+patients+in+Mumbai,+India&amp;author=S+Mehta&amp;author=M+Das&amp;author=C+Laxmeshwar&amp;author=S+Jonckheere&amp;author=SS+Thi&amp;volume=11&amp;publication_year=2016&amp;pages=e0162138&amp;pmid=27611434&amp;" TargetMode="External"/><Relationship Id="rId3" Type="http://schemas.openxmlformats.org/officeDocument/2006/relationships/settings" Target="settings.xml"/><Relationship Id="rId21" Type="http://schemas.openxmlformats.org/officeDocument/2006/relationships/hyperlink" Target="https://apps.who.int/iris/bitstream/handle/10665/189763/9789241209946_eng.pdf;jsessionid=1A8F9E6BBB9BC6DB622EF371E6C6F4DC?sequence=1" TargetMode="External"/><Relationship Id="rId34" Type="http://schemas.openxmlformats.org/officeDocument/2006/relationships/theme" Target="theme/theme1.xml"/><Relationship Id="rId7" Type="http://schemas.openxmlformats.org/officeDocument/2006/relationships/footer" Target="footer1.xml"/><Relationship Id="rId12" Type="http://schemas.microsoft.com/office/2007/relationships/diagramDrawing" Target="diagrams/drawing1.xml"/><Relationship Id="rId17" Type="http://schemas.openxmlformats.org/officeDocument/2006/relationships/hyperlink" Target="https://www.ncbi.nlm.nih.gov/pubmed/25686072" TargetMode="External"/><Relationship Id="rId25" Type="http://schemas.openxmlformats.org/officeDocument/2006/relationships/hyperlink" Target="https://www.ncbi.nlm.nih.gov/pubmed/27611434"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ncbi.nlm.nih.gov/pmc/articles/PMC4363967/" TargetMode="External"/><Relationship Id="rId20" Type="http://schemas.openxmlformats.org/officeDocument/2006/relationships/hyperlink" Target="https://scholar.google.com/scholar_lookup?journal=J+Neuroophthalmol&amp;title=Linezolid-associated+optic+neuropathy+in+a+patient+with+drug-resistant+tuberculosis&amp;author=J+Han&amp;author=K+Lee&amp;author=S+Rhiu&amp;author=JB+Lee&amp;author=SH+Han&amp;volume=33&amp;publication_year=2013&amp;pages=316-8&amp;pmid=23912768&amp;" TargetMode="External"/><Relationship Id="rId29"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24" Type="http://schemas.openxmlformats.org/officeDocument/2006/relationships/hyperlink" Target="https://www.ncbi.nlm.nih.gov/pmc/articles/PMC5017632/" TargetMode="External"/><Relationship Id="rId32"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yperlink" Target="https://scholar.google.com/scholar_lookup?journal=Indian+J+Ophthalmol&amp;title=Linezolid-induced+optic+neuropathy&amp;author=D+Karuppannasamy&amp;author=A+Raghuram&amp;author=D+Sundar&amp;volume=62&amp;publication_year=2014&amp;pages=497-500&amp;pmid=24088636&amp;" TargetMode="External"/><Relationship Id="rId23" Type="http://schemas.openxmlformats.org/officeDocument/2006/relationships/hyperlink" Target="https://scholar.google.com/scholar_lookup?journal=J+Basic+Clin+Physiol+Pharmacol&amp;title=Drug-induced+optic+neuropathy+in+a+case+of+extensively+drug-resistant+pulmonary+tuberculosis&amp;author=P+Rana&amp;author=V+Roy&amp;author=J+Ahmad&amp;volume=30&amp;publication_year=2018&amp;pages=139-40&amp;pmid=30173204&amp;" TargetMode="External"/><Relationship Id="rId28" Type="http://schemas.openxmlformats.org/officeDocument/2006/relationships/hyperlink" Target="https://scholar.google.com/scholar_lookup?journal=Int+Ophthalmol&amp;title=Linezolid-induced+optic+neuropathy+with+a+rare+pathological+change+in+the+inner+retina&amp;author=N+Ishii&amp;author=R+Kinouchi&amp;author=M+Inoue&amp;author=A+Yoshida&amp;volume=36&amp;publication_year=2016&amp;pages=761-6&amp;pmid=26872906&amp;" TargetMode="External"/><Relationship Id="rId10" Type="http://schemas.openxmlformats.org/officeDocument/2006/relationships/diagramQuickStyle" Target="diagrams/quickStyle1.xml"/><Relationship Id="rId19" Type="http://schemas.openxmlformats.org/officeDocument/2006/relationships/hyperlink" Target="https://www.ncbi.nlm.nih.gov/pubmed/23912768" TargetMode="External"/><Relationship Id="rId31"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hyperlink" Target="https://www.ncbi.nlm.nih.gov/pubmed/24088636" TargetMode="External"/><Relationship Id="rId22" Type="http://schemas.openxmlformats.org/officeDocument/2006/relationships/hyperlink" Target="https://www.ncbi.nlm.nih.gov/pubmed/30173204" TargetMode="External"/><Relationship Id="rId27" Type="http://schemas.openxmlformats.org/officeDocument/2006/relationships/hyperlink" Target="https://www.ncbi.nlm.nih.gov/pubmed/26872906" TargetMode="External"/><Relationship Id="rId30"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766F47D-1BDD-40A8-933E-95DB5D5E949A}" type="doc">
      <dgm:prSet loTypeId="urn:microsoft.com/office/officeart/2005/8/layout/process1" loCatId="process" qsTypeId="urn:microsoft.com/office/officeart/2005/8/quickstyle/simple1" qsCatId="simple" csTypeId="urn:microsoft.com/office/officeart/2005/8/colors/accent1_2" csCatId="accent1" phldr="1"/>
      <dgm:spPr/>
    </dgm:pt>
    <dgm:pt modelId="{7C4F04F4-7E9C-45E7-AC78-56714557AA9F}">
      <dgm:prSet phldrT="[Text]"/>
      <dgm:spPr>
        <a:xfrm>
          <a:off x="447" y="832823"/>
          <a:ext cx="2932197" cy="1753827"/>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l"/>
          <a:r>
            <a:rPr lang="en-US">
              <a:solidFill>
                <a:sysClr val="window" lastClr="FFFFFF"/>
              </a:solidFill>
              <a:latin typeface="Calibri" panose="020F0502020204030204"/>
              <a:ea typeface="+mn-ea"/>
              <a:cs typeface="+mn-cs"/>
            </a:rPr>
            <a:t>Thrombocytopenia</a:t>
          </a:r>
        </a:p>
        <a:p>
          <a:pPr algn="l"/>
          <a:r>
            <a:rPr lang="en-US">
              <a:solidFill>
                <a:sysClr val="window" lastClr="FFFFFF"/>
              </a:solidFill>
              <a:latin typeface="Calibri" panose="020F0502020204030204"/>
              <a:ea typeface="+mn-ea"/>
              <a:cs typeface="+mn-cs"/>
            </a:rPr>
            <a:t>Optic neuritis</a:t>
          </a:r>
        </a:p>
        <a:p>
          <a:pPr algn="l"/>
          <a:r>
            <a:rPr lang="en-US">
              <a:solidFill>
                <a:sysClr val="window" lastClr="FFFFFF"/>
              </a:solidFill>
              <a:latin typeface="Calibri" panose="020F0502020204030204"/>
              <a:ea typeface="+mn-ea"/>
              <a:cs typeface="+mn-cs"/>
            </a:rPr>
            <a:t> Peripheral neuropathy</a:t>
          </a:r>
        </a:p>
        <a:p>
          <a:pPr algn="l"/>
          <a:r>
            <a:rPr lang="en-US">
              <a:solidFill>
                <a:sysClr val="window" lastClr="FFFFFF"/>
              </a:solidFill>
              <a:latin typeface="Calibri" panose="020F0502020204030204"/>
              <a:ea typeface="+mn-ea"/>
              <a:cs typeface="+mn-cs"/>
            </a:rPr>
            <a:t>Nutrient deficiency</a:t>
          </a:r>
        </a:p>
      </dgm:t>
    </dgm:pt>
    <dgm:pt modelId="{B1631F11-66D8-4CB7-84FF-0D3BB484206D}" type="parTrans" cxnId="{18514AE0-4E50-4944-A542-DE35C2D40358}">
      <dgm:prSet/>
      <dgm:spPr/>
      <dgm:t>
        <a:bodyPr/>
        <a:lstStyle/>
        <a:p>
          <a:endParaRPr lang="en-US"/>
        </a:p>
      </dgm:t>
    </dgm:pt>
    <dgm:pt modelId="{9E02FAC1-0DFC-49B5-86AA-813DCAA1DA4B}" type="sibTrans" cxnId="{18514AE0-4E50-4944-A542-DE35C2D40358}">
      <dgm:prSet/>
      <dgm:spPr>
        <a:xfrm rot="21583781">
          <a:off x="3128607" y="1457919"/>
          <a:ext cx="415449" cy="485992"/>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endParaRPr lang="en-US">
            <a:solidFill>
              <a:sysClr val="window" lastClr="FFFFFF"/>
            </a:solidFill>
            <a:latin typeface="Calibri" panose="020F0502020204030204"/>
            <a:ea typeface="+mn-ea"/>
            <a:cs typeface="+mn-cs"/>
          </a:endParaRPr>
        </a:p>
      </dgm:t>
    </dgm:pt>
    <dgm:pt modelId="{4FFED49A-6B8C-464B-8607-319BEB6E084A}">
      <dgm:prSet phldrT="[Text]"/>
      <dgm:spPr>
        <a:xfrm>
          <a:off x="3716503" y="1106605"/>
          <a:ext cx="1959645" cy="1175787"/>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Adverse effects of Linezolid</a:t>
          </a:r>
        </a:p>
      </dgm:t>
    </dgm:pt>
    <dgm:pt modelId="{6D6FB743-D3A2-4C40-98A5-E9EDA53F5F96}" type="parTrans" cxnId="{0ED5700D-1944-4367-A432-A120FA1918E2}">
      <dgm:prSet/>
      <dgm:spPr/>
      <dgm:t>
        <a:bodyPr/>
        <a:lstStyle/>
        <a:p>
          <a:endParaRPr lang="en-US"/>
        </a:p>
      </dgm:t>
    </dgm:pt>
    <dgm:pt modelId="{E818DDD3-ADA8-4924-A8BF-C669DA34DD4D}" type="sibTrans" cxnId="{0ED5700D-1944-4367-A432-A120FA1918E2}">
      <dgm:prSet/>
      <dgm:spPr/>
      <dgm:t>
        <a:bodyPr/>
        <a:lstStyle/>
        <a:p>
          <a:endParaRPr lang="en-US"/>
        </a:p>
      </dgm:t>
    </dgm:pt>
    <dgm:pt modelId="{5875B31B-F581-4B21-A65C-B2AD90FB1AF3}" type="pres">
      <dgm:prSet presAssocID="{0766F47D-1BDD-40A8-933E-95DB5D5E949A}" presName="Name0" presStyleCnt="0">
        <dgm:presLayoutVars>
          <dgm:dir/>
          <dgm:resizeHandles val="exact"/>
        </dgm:presLayoutVars>
      </dgm:prSet>
      <dgm:spPr/>
    </dgm:pt>
    <dgm:pt modelId="{101FED88-966A-4D11-AC08-56040CC277EE}" type="pres">
      <dgm:prSet presAssocID="{7C4F04F4-7E9C-45E7-AC78-56714557AA9F}" presName="node" presStyleLbl="node1" presStyleIdx="0" presStyleCnt="2" custScaleX="149629" custScaleY="149162" custLinFactNeighborX="-26514" custLinFactNeighborY="-98396">
        <dgm:presLayoutVars>
          <dgm:bulletEnabled val="1"/>
        </dgm:presLayoutVars>
      </dgm:prSet>
      <dgm:spPr/>
      <dgm:t>
        <a:bodyPr/>
        <a:lstStyle/>
        <a:p>
          <a:endParaRPr lang="en-US"/>
        </a:p>
      </dgm:t>
    </dgm:pt>
    <dgm:pt modelId="{B2E7394D-B9F7-4DE8-B47F-99F104B33FD8}" type="pres">
      <dgm:prSet presAssocID="{9E02FAC1-0DFC-49B5-86AA-813DCAA1DA4B}" presName="sibTrans" presStyleLbl="sibTrans2D1" presStyleIdx="0" presStyleCnt="1"/>
      <dgm:spPr/>
      <dgm:t>
        <a:bodyPr/>
        <a:lstStyle/>
        <a:p>
          <a:endParaRPr lang="en-US"/>
        </a:p>
      </dgm:t>
    </dgm:pt>
    <dgm:pt modelId="{5EDDCBE7-28BF-40C1-944D-16AEEC800EF4}" type="pres">
      <dgm:prSet presAssocID="{9E02FAC1-0DFC-49B5-86AA-813DCAA1DA4B}" presName="connectorText" presStyleLbl="sibTrans2D1" presStyleIdx="0" presStyleCnt="1"/>
      <dgm:spPr/>
      <dgm:t>
        <a:bodyPr/>
        <a:lstStyle/>
        <a:p>
          <a:endParaRPr lang="en-US"/>
        </a:p>
      </dgm:t>
    </dgm:pt>
    <dgm:pt modelId="{D8D79A13-3006-4009-97B8-151B586B132B}" type="pres">
      <dgm:prSet presAssocID="{4FFED49A-6B8C-464B-8607-319BEB6E084A}" presName="node" presStyleLbl="node1" presStyleIdx="1" presStyleCnt="2" custLinFactNeighborY="-1296">
        <dgm:presLayoutVars>
          <dgm:bulletEnabled val="1"/>
        </dgm:presLayoutVars>
      </dgm:prSet>
      <dgm:spPr/>
      <dgm:t>
        <a:bodyPr/>
        <a:lstStyle/>
        <a:p>
          <a:endParaRPr lang="en-US"/>
        </a:p>
      </dgm:t>
    </dgm:pt>
  </dgm:ptLst>
  <dgm:cxnLst>
    <dgm:cxn modelId="{9E42D7B6-CF04-4663-8A14-983A9572F363}" type="presOf" srcId="{0766F47D-1BDD-40A8-933E-95DB5D5E949A}" destId="{5875B31B-F581-4B21-A65C-B2AD90FB1AF3}" srcOrd="0" destOrd="0" presId="urn:microsoft.com/office/officeart/2005/8/layout/process1"/>
    <dgm:cxn modelId="{DB8EF8DE-C197-4F62-BFA5-10B34FFC78DE}" type="presOf" srcId="{4FFED49A-6B8C-464B-8607-319BEB6E084A}" destId="{D8D79A13-3006-4009-97B8-151B586B132B}" srcOrd="0" destOrd="0" presId="urn:microsoft.com/office/officeart/2005/8/layout/process1"/>
    <dgm:cxn modelId="{18514AE0-4E50-4944-A542-DE35C2D40358}" srcId="{0766F47D-1BDD-40A8-933E-95DB5D5E949A}" destId="{7C4F04F4-7E9C-45E7-AC78-56714557AA9F}" srcOrd="0" destOrd="0" parTransId="{B1631F11-66D8-4CB7-84FF-0D3BB484206D}" sibTransId="{9E02FAC1-0DFC-49B5-86AA-813DCAA1DA4B}"/>
    <dgm:cxn modelId="{A1B3530A-C084-4114-9255-86EFAE6448F3}" type="presOf" srcId="{7C4F04F4-7E9C-45E7-AC78-56714557AA9F}" destId="{101FED88-966A-4D11-AC08-56040CC277EE}" srcOrd="0" destOrd="0" presId="urn:microsoft.com/office/officeart/2005/8/layout/process1"/>
    <dgm:cxn modelId="{0ED5700D-1944-4367-A432-A120FA1918E2}" srcId="{0766F47D-1BDD-40A8-933E-95DB5D5E949A}" destId="{4FFED49A-6B8C-464B-8607-319BEB6E084A}" srcOrd="1" destOrd="0" parTransId="{6D6FB743-D3A2-4C40-98A5-E9EDA53F5F96}" sibTransId="{E818DDD3-ADA8-4924-A8BF-C669DA34DD4D}"/>
    <dgm:cxn modelId="{39FB11FC-46D1-45E9-B4A7-B5F5C5758689}" type="presOf" srcId="{9E02FAC1-0DFC-49B5-86AA-813DCAA1DA4B}" destId="{B2E7394D-B9F7-4DE8-B47F-99F104B33FD8}" srcOrd="0" destOrd="0" presId="urn:microsoft.com/office/officeart/2005/8/layout/process1"/>
    <dgm:cxn modelId="{FAF0B4F2-02B7-4759-8CAA-BA3F8F5A7E45}" type="presOf" srcId="{9E02FAC1-0DFC-49B5-86AA-813DCAA1DA4B}" destId="{5EDDCBE7-28BF-40C1-944D-16AEEC800EF4}" srcOrd="1" destOrd="0" presId="urn:microsoft.com/office/officeart/2005/8/layout/process1"/>
    <dgm:cxn modelId="{516E252B-58B8-4D6E-A3F2-CA84252A51DC}" type="presParOf" srcId="{5875B31B-F581-4B21-A65C-B2AD90FB1AF3}" destId="{101FED88-966A-4D11-AC08-56040CC277EE}" srcOrd="0" destOrd="0" presId="urn:microsoft.com/office/officeart/2005/8/layout/process1"/>
    <dgm:cxn modelId="{0E6F328A-44DA-4FC9-A42D-C8249E1C8208}" type="presParOf" srcId="{5875B31B-F581-4B21-A65C-B2AD90FB1AF3}" destId="{B2E7394D-B9F7-4DE8-B47F-99F104B33FD8}" srcOrd="1" destOrd="0" presId="urn:microsoft.com/office/officeart/2005/8/layout/process1"/>
    <dgm:cxn modelId="{90E23F40-DEF7-43F0-99BE-86424AFDE1DB}" type="presParOf" srcId="{B2E7394D-B9F7-4DE8-B47F-99F104B33FD8}" destId="{5EDDCBE7-28BF-40C1-944D-16AEEC800EF4}" srcOrd="0" destOrd="0" presId="urn:microsoft.com/office/officeart/2005/8/layout/process1"/>
    <dgm:cxn modelId="{40B888C7-E2C3-41A2-B586-C40BBABC00AF}" type="presParOf" srcId="{5875B31B-F581-4B21-A65C-B2AD90FB1AF3}" destId="{D8D79A13-3006-4009-97B8-151B586B132B}" srcOrd="2" destOrd="0" presId="urn:microsoft.com/office/officeart/2005/8/layout/process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1FED88-966A-4D11-AC08-56040CC277EE}">
      <dsp:nvSpPr>
        <dsp:cNvPr id="0" name=""/>
        <dsp:cNvSpPr/>
      </dsp:nvSpPr>
      <dsp:spPr>
        <a:xfrm>
          <a:off x="0" y="0"/>
          <a:ext cx="2932026" cy="1753725"/>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l" defTabSz="844550">
            <a:lnSpc>
              <a:spcPct val="90000"/>
            </a:lnSpc>
            <a:spcBef>
              <a:spcPct val="0"/>
            </a:spcBef>
            <a:spcAft>
              <a:spcPct val="35000"/>
            </a:spcAft>
          </a:pPr>
          <a:r>
            <a:rPr lang="en-US" sz="1900" kern="1200">
              <a:solidFill>
                <a:sysClr val="window" lastClr="FFFFFF"/>
              </a:solidFill>
              <a:latin typeface="Calibri" panose="020F0502020204030204"/>
              <a:ea typeface="+mn-ea"/>
              <a:cs typeface="+mn-cs"/>
            </a:rPr>
            <a:t>Thrombocytopenia</a:t>
          </a:r>
        </a:p>
        <a:p>
          <a:pPr lvl="0" algn="l" defTabSz="844550">
            <a:lnSpc>
              <a:spcPct val="90000"/>
            </a:lnSpc>
            <a:spcBef>
              <a:spcPct val="0"/>
            </a:spcBef>
            <a:spcAft>
              <a:spcPct val="35000"/>
            </a:spcAft>
          </a:pPr>
          <a:r>
            <a:rPr lang="en-US" sz="1900" kern="1200">
              <a:solidFill>
                <a:sysClr val="window" lastClr="FFFFFF"/>
              </a:solidFill>
              <a:latin typeface="Calibri" panose="020F0502020204030204"/>
              <a:ea typeface="+mn-ea"/>
              <a:cs typeface="+mn-cs"/>
            </a:rPr>
            <a:t>Optic neuritis</a:t>
          </a:r>
        </a:p>
        <a:p>
          <a:pPr lvl="0" algn="l" defTabSz="844550">
            <a:lnSpc>
              <a:spcPct val="90000"/>
            </a:lnSpc>
            <a:spcBef>
              <a:spcPct val="0"/>
            </a:spcBef>
            <a:spcAft>
              <a:spcPct val="35000"/>
            </a:spcAft>
          </a:pPr>
          <a:r>
            <a:rPr lang="en-US" sz="1900" kern="1200">
              <a:solidFill>
                <a:sysClr val="window" lastClr="FFFFFF"/>
              </a:solidFill>
              <a:latin typeface="Calibri" panose="020F0502020204030204"/>
              <a:ea typeface="+mn-ea"/>
              <a:cs typeface="+mn-cs"/>
            </a:rPr>
            <a:t> Peripheral neuropathy</a:t>
          </a:r>
        </a:p>
        <a:p>
          <a:pPr lvl="0" algn="l" defTabSz="844550">
            <a:lnSpc>
              <a:spcPct val="90000"/>
            </a:lnSpc>
            <a:spcBef>
              <a:spcPct val="0"/>
            </a:spcBef>
            <a:spcAft>
              <a:spcPct val="35000"/>
            </a:spcAft>
          </a:pPr>
          <a:r>
            <a:rPr lang="en-US" sz="1900" kern="1200">
              <a:solidFill>
                <a:sysClr val="window" lastClr="FFFFFF"/>
              </a:solidFill>
              <a:latin typeface="Calibri" panose="020F0502020204030204"/>
              <a:ea typeface="+mn-ea"/>
              <a:cs typeface="+mn-cs"/>
            </a:rPr>
            <a:t>Nutrient deficiency</a:t>
          </a:r>
        </a:p>
      </dsp:txBody>
      <dsp:txXfrm>
        <a:off x="51365" y="51365"/>
        <a:ext cx="2829296" cy="1650995"/>
      </dsp:txXfrm>
    </dsp:sp>
    <dsp:sp modelId="{B2E7394D-B9F7-4DE8-B47F-99F104B33FD8}">
      <dsp:nvSpPr>
        <dsp:cNvPr id="0" name=""/>
        <dsp:cNvSpPr/>
      </dsp:nvSpPr>
      <dsp:spPr>
        <a:xfrm rot="853265">
          <a:off x="3121521" y="1107772"/>
          <a:ext cx="428798" cy="485963"/>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solidFill>
              <a:sysClr val="window" lastClr="FFFFFF"/>
            </a:solidFill>
            <a:latin typeface="Calibri" panose="020F0502020204030204"/>
            <a:ea typeface="+mn-ea"/>
            <a:cs typeface="+mn-cs"/>
          </a:endParaRPr>
        </a:p>
      </dsp:txBody>
      <dsp:txXfrm>
        <a:off x="3123492" y="1189164"/>
        <a:ext cx="300159" cy="291577"/>
      </dsp:txXfrm>
    </dsp:sp>
    <dsp:sp modelId="{D8D79A13-3006-4009-97B8-151B586B132B}">
      <dsp:nvSpPr>
        <dsp:cNvPr id="0" name=""/>
        <dsp:cNvSpPr/>
      </dsp:nvSpPr>
      <dsp:spPr>
        <a:xfrm>
          <a:off x="3716286" y="1107593"/>
          <a:ext cx="1959530" cy="1175718"/>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ctr" defTabSz="844550">
            <a:lnSpc>
              <a:spcPct val="90000"/>
            </a:lnSpc>
            <a:spcBef>
              <a:spcPct val="0"/>
            </a:spcBef>
            <a:spcAft>
              <a:spcPct val="35000"/>
            </a:spcAft>
          </a:pPr>
          <a:r>
            <a:rPr lang="en-US" sz="1900" kern="1200">
              <a:solidFill>
                <a:sysClr val="window" lastClr="FFFFFF"/>
              </a:solidFill>
              <a:latin typeface="Calibri" panose="020F0502020204030204"/>
              <a:ea typeface="+mn-ea"/>
              <a:cs typeface="+mn-cs"/>
            </a:rPr>
            <a:t>Adverse effects of Linezolid</a:t>
          </a:r>
        </a:p>
      </dsp:txBody>
      <dsp:txXfrm>
        <a:off x="3750722" y="1142029"/>
        <a:ext cx="1890658" cy="110684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1</Pages>
  <Words>1077</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NTP</cp:lastModifiedBy>
  <cp:revision>34</cp:revision>
  <dcterms:created xsi:type="dcterms:W3CDTF">2022-02-18T08:40:00Z</dcterms:created>
  <dcterms:modified xsi:type="dcterms:W3CDTF">2022-02-18T11:18:00Z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